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585D0" w14:textId="03FF07F1" w:rsidR="00AB7E08" w:rsidRPr="007F03AD" w:rsidRDefault="00D02768">
      <w:pPr>
        <w:spacing w:after="200"/>
        <w:rPr>
          <w:rFonts w:ascii="Bierstadt" w:hAnsi="Bierstadt"/>
          <w:b/>
          <w:bCs/>
          <w:color w:val="262626" w:themeColor="text1" w:themeTint="D9"/>
          <w:sz w:val="40"/>
          <w:szCs w:val="40"/>
          <w:lang w:val="en-GB"/>
        </w:rPr>
      </w:pPr>
      <w:r>
        <w:rPr>
          <w:rFonts w:ascii="Bierstadt" w:hAnsi="Bierstadt"/>
          <w:b/>
          <w:bCs/>
          <w:noProof/>
          <w:color w:val="262626" w:themeColor="text1" w:themeTint="D9"/>
          <w:sz w:val="40"/>
          <w:szCs w:val="40"/>
          <w:lang w:val="en-GB"/>
        </w:rPr>
        <mc:AlternateContent>
          <mc:Choice Requires="wps">
            <w:drawing>
              <wp:anchor distT="0" distB="0" distL="114300" distR="114300" simplePos="0" relativeHeight="251659264" behindDoc="0" locked="0" layoutInCell="1" allowOverlap="1" wp14:anchorId="69E06025" wp14:editId="54A02AB9">
                <wp:simplePos x="0" y="0"/>
                <wp:positionH relativeFrom="column">
                  <wp:posOffset>-879165</wp:posOffset>
                </wp:positionH>
                <wp:positionV relativeFrom="paragraph">
                  <wp:posOffset>-1228577</wp:posOffset>
                </wp:positionV>
                <wp:extent cx="7495954" cy="10621925"/>
                <wp:effectExtent l="0" t="0" r="0" b="0"/>
                <wp:wrapNone/>
                <wp:docPr id="1" name="Text Box 1"/>
                <wp:cNvGraphicFramePr/>
                <a:graphic xmlns:a="http://schemas.openxmlformats.org/drawingml/2006/main">
                  <a:graphicData uri="http://schemas.microsoft.com/office/word/2010/wordprocessingShape">
                    <wps:wsp>
                      <wps:cNvSpPr txBox="1"/>
                      <wps:spPr>
                        <a:xfrm>
                          <a:off x="0" y="0"/>
                          <a:ext cx="7495954" cy="10621925"/>
                        </a:xfrm>
                        <a:prstGeom prst="rect">
                          <a:avLst/>
                        </a:prstGeom>
                        <a:solidFill>
                          <a:schemeClr val="lt1"/>
                        </a:solidFill>
                        <a:ln w="6350">
                          <a:noFill/>
                        </a:ln>
                      </wps:spPr>
                      <wps:txbx>
                        <w:txbxContent>
                          <w:p w14:paraId="6E7486B4" w14:textId="08AE1F35" w:rsidR="00D02768" w:rsidRDefault="00D02768">
                            <w:r>
                              <w:rPr>
                                <w:noProof/>
                              </w:rPr>
                              <w:drawing>
                                <wp:inline distT="0" distB="0" distL="0" distR="0" wp14:anchorId="1AEFD886" wp14:editId="47E7261D">
                                  <wp:extent cx="7503838" cy="10614301"/>
                                  <wp:effectExtent l="0" t="0" r="190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stretch>
                                            <a:fillRect/>
                                          </a:stretch>
                                        </pic:blipFill>
                                        <pic:spPr>
                                          <a:xfrm>
                                            <a:off x="0" y="0"/>
                                            <a:ext cx="7503838" cy="10614301"/>
                                          </a:xfrm>
                                          <a:prstGeom prst="rect">
                                            <a:avLst/>
                                          </a:prstGeom>
                                        </pic:spPr>
                                      </pic:pic>
                                    </a:graphicData>
                                  </a:graphic>
                                </wp:inline>
                              </w:drawing>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E06025" id="_x0000_t202" coordsize="21600,21600" o:spt="202" path="m,l,21600r21600,l21600,xe">
                <v:stroke joinstyle="miter"/>
                <v:path gradientshapeok="t" o:connecttype="rect"/>
              </v:shapetype>
              <v:shape id="Text Box 1" o:spid="_x0000_s1026" type="#_x0000_t202" style="position:absolute;margin-left:-69.25pt;margin-top:-96.75pt;width:590.25pt;height:836.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" fillcolor="white [3201]" stroked="f" strokeweight=".5pt">
                <v:textbox inset="1mm,1mm,1mm,1mm">
                  <w:txbxContent>
                    <w:p w14:paraId="6E7486B4" w14:textId="08AE1F35" w:rsidR="00D02768" w:rsidRDefault="00D02768">
                      <w:r>
                        <w:rPr>
                          <w:noProof/>
                        </w:rPr>
                        <w:drawing>
                          <wp:inline distT="0" distB="0" distL="0" distR="0" wp14:anchorId="1AEFD886" wp14:editId="47E7261D">
                            <wp:extent cx="7503838" cy="10614301"/>
                            <wp:effectExtent l="0" t="0" r="190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stretch>
                                      <a:fillRect/>
                                    </a:stretch>
                                  </pic:blipFill>
                                  <pic:spPr>
                                    <a:xfrm>
                                      <a:off x="0" y="0"/>
                                      <a:ext cx="7503838" cy="10614301"/>
                                    </a:xfrm>
                                    <a:prstGeom prst="rect">
                                      <a:avLst/>
                                    </a:prstGeom>
                                  </pic:spPr>
                                </pic:pic>
                              </a:graphicData>
                            </a:graphic>
                          </wp:inline>
                        </w:drawing>
                      </w:r>
                    </w:p>
                  </w:txbxContent>
                </v:textbox>
              </v:shape>
            </w:pict>
          </mc:Fallback>
        </mc:AlternateContent>
      </w:r>
      <w:r w:rsidR="00AB7E08" w:rsidRPr="007F03AD">
        <w:rPr>
          <w:rFonts w:ascii="Bierstadt" w:hAnsi="Bierstadt"/>
          <w:b/>
          <w:bCs/>
          <w:color w:val="262626" w:themeColor="text1" w:themeTint="D9"/>
          <w:sz w:val="40"/>
          <w:szCs w:val="40"/>
          <w:lang w:val="en-GB"/>
        </w:rPr>
        <w:br w:type="page"/>
      </w:r>
    </w:p>
    <w:p w14:paraId="08BF13E3" w14:textId="740C6FAF" w:rsidR="00B71B1D" w:rsidRPr="00AA7401" w:rsidRDefault="000D3F6B">
      <w:pPr>
        <w:spacing w:after="200"/>
        <w:rPr>
          <w:rFonts w:ascii="Bierstadt" w:hAnsi="Bierstadt"/>
          <w:color w:val="262626" w:themeColor="text1" w:themeTint="D9"/>
          <w:sz w:val="40"/>
          <w:szCs w:val="40"/>
          <w:lang w:val="en-GB"/>
        </w:rPr>
      </w:pPr>
      <w:r w:rsidRPr="00AA7401">
        <w:rPr>
          <w:rFonts w:ascii="Bierstadt" w:hAnsi="Bierstadt"/>
          <w:color w:val="262626" w:themeColor="text1" w:themeTint="D9"/>
          <w:sz w:val="40"/>
          <w:szCs w:val="40"/>
          <w:lang w:val="en-GB"/>
        </w:rPr>
        <w:lastRenderedPageBreak/>
        <w:t>Contents</w:t>
      </w:r>
    </w:p>
    <w:p w14:paraId="6D26A6A3" w14:textId="77777777" w:rsidR="006A436B" w:rsidRDefault="006A436B">
      <w:pPr>
        <w:pStyle w:val="TOC1"/>
        <w:rPr>
          <w:rFonts w:eastAsiaTheme="minorHAnsi" w:cstheme="minorBidi"/>
          <w:b w:val="0"/>
          <w:bCs/>
          <w:caps/>
          <w:noProof w:val="0"/>
          <w:color w:val="000000" w:themeColor="text1"/>
          <w:sz w:val="21"/>
          <w:szCs w:val="22"/>
          <w:lang w:val="en-GB"/>
        </w:rPr>
        <w:sectPr w:rsidR="006A436B" w:rsidSect="00987CFF">
          <w:footerReference w:type="even" r:id="rId12"/>
          <w:footerReference w:type="default" r:id="rId13"/>
          <w:type w:val="continuous"/>
          <w:pgSz w:w="11906" w:h="16838" w:code="9"/>
          <w:pgMar w:top="1985" w:right="1416" w:bottom="1134" w:left="1418" w:header="709" w:footer="567" w:gutter="0"/>
          <w:cols w:space="708"/>
          <w:titlePg/>
          <w:docGrid w:linePitch="360"/>
        </w:sectPr>
      </w:pPr>
    </w:p>
    <w:sdt>
      <w:sdtPr>
        <w:rPr>
          <w:rFonts w:eastAsiaTheme="minorHAnsi" w:cstheme="minorBidi"/>
          <w:b w:val="0"/>
          <w:bCs/>
          <w:caps/>
          <w:noProof w:val="0"/>
          <w:color w:val="000000" w:themeColor="text1"/>
          <w:sz w:val="21"/>
          <w:szCs w:val="22"/>
          <w:lang w:val="en-GB"/>
        </w:rPr>
        <w:id w:val="4883097"/>
        <w:docPartObj>
          <w:docPartGallery w:val="Table of Contents"/>
          <w:docPartUnique/>
        </w:docPartObj>
      </w:sdtPr>
      <w:sdtEndPr>
        <w:rPr>
          <w:bCs w:val="0"/>
          <w:caps w:val="0"/>
          <w:color w:val="1C2334"/>
        </w:rPr>
      </w:sdtEndPr>
      <w:sdtContent>
        <w:p w14:paraId="4DBD0150" w14:textId="45BD2CC2" w:rsidR="008329C9" w:rsidRDefault="0023345F">
          <w:pPr>
            <w:pStyle w:val="TOC1"/>
            <w:rPr>
              <w:rFonts w:eastAsiaTheme="minorEastAsia" w:cstheme="minorBidi"/>
              <w:b w:val="0"/>
              <w:color w:val="auto"/>
              <w:sz w:val="24"/>
              <w:szCs w:val="24"/>
              <w:lang w:val="en-AU" w:eastAsia="en-GB"/>
            </w:rPr>
          </w:pPr>
          <w:r w:rsidRPr="00FF0647">
            <w:rPr>
              <w:noProof w:val="0"/>
              <w:color w:val="000000" w:themeColor="text1"/>
              <w:sz w:val="24"/>
              <w:lang w:val="en-GB"/>
            </w:rPr>
            <w:fldChar w:fldCharType="begin"/>
          </w:r>
          <w:r w:rsidR="00396019" w:rsidRPr="00FF0647">
            <w:rPr>
              <w:noProof w:val="0"/>
              <w:color w:val="000000" w:themeColor="text1"/>
              <w:lang w:val="en-GB"/>
            </w:rPr>
            <w:instrText xml:space="preserve"> TOC \o "1-3" \h \z \u </w:instrText>
          </w:r>
          <w:r w:rsidRPr="00FF0647">
            <w:rPr>
              <w:noProof w:val="0"/>
              <w:color w:val="000000" w:themeColor="text1"/>
              <w:sz w:val="24"/>
              <w:lang w:val="en-GB"/>
            </w:rPr>
            <w:fldChar w:fldCharType="separate"/>
          </w:r>
          <w:hyperlink w:anchor="_Toc117667165" w:history="1">
            <w:r w:rsidR="008329C9" w:rsidRPr="007C6896">
              <w:rPr>
                <w:rStyle w:val="Hyperlink"/>
              </w:rPr>
              <w:t>Shuffling the decks: 2022-23 Budget 2.0</w:t>
            </w:r>
            <w:r w:rsidR="008329C9">
              <w:rPr>
                <w:webHidden/>
              </w:rPr>
              <w:tab/>
            </w:r>
            <w:r w:rsidR="008329C9">
              <w:rPr>
                <w:webHidden/>
              </w:rPr>
              <w:fldChar w:fldCharType="begin"/>
            </w:r>
            <w:r w:rsidR="008329C9">
              <w:rPr>
                <w:webHidden/>
              </w:rPr>
              <w:instrText xml:space="preserve"> PAGEREF _Toc117667165 \h </w:instrText>
            </w:r>
            <w:r w:rsidR="008329C9">
              <w:rPr>
                <w:webHidden/>
              </w:rPr>
            </w:r>
            <w:r w:rsidR="008329C9">
              <w:rPr>
                <w:webHidden/>
              </w:rPr>
              <w:fldChar w:fldCharType="separate"/>
            </w:r>
            <w:r w:rsidR="008329C9">
              <w:rPr>
                <w:webHidden/>
              </w:rPr>
              <w:t>4</w:t>
            </w:r>
            <w:r w:rsidR="008329C9">
              <w:rPr>
                <w:webHidden/>
              </w:rPr>
              <w:fldChar w:fldCharType="end"/>
            </w:r>
          </w:hyperlink>
        </w:p>
        <w:p w14:paraId="66E847AE" w14:textId="480356DA" w:rsidR="008329C9" w:rsidRDefault="00414014">
          <w:pPr>
            <w:pStyle w:val="TOC1"/>
            <w:rPr>
              <w:rFonts w:eastAsiaTheme="minorEastAsia" w:cstheme="minorBidi"/>
              <w:b w:val="0"/>
              <w:color w:val="auto"/>
              <w:sz w:val="24"/>
              <w:szCs w:val="24"/>
              <w:lang w:val="en-AU" w:eastAsia="en-GB"/>
            </w:rPr>
          </w:pPr>
          <w:hyperlink w:anchor="_Toc117667166" w:history="1">
            <w:r w:rsidR="008329C9" w:rsidRPr="007C6896">
              <w:rPr>
                <w:rStyle w:val="Hyperlink"/>
                <w:lang w:val="en-GB"/>
              </w:rPr>
              <w:t>The team</w:t>
            </w:r>
            <w:r w:rsidR="008329C9">
              <w:rPr>
                <w:webHidden/>
              </w:rPr>
              <w:tab/>
            </w:r>
            <w:r w:rsidR="008329C9">
              <w:rPr>
                <w:webHidden/>
              </w:rPr>
              <w:fldChar w:fldCharType="begin"/>
            </w:r>
            <w:r w:rsidR="008329C9">
              <w:rPr>
                <w:webHidden/>
              </w:rPr>
              <w:instrText xml:space="preserve"> PAGEREF _Toc117667166 \h </w:instrText>
            </w:r>
            <w:r w:rsidR="008329C9">
              <w:rPr>
                <w:webHidden/>
              </w:rPr>
            </w:r>
            <w:r w:rsidR="008329C9">
              <w:rPr>
                <w:webHidden/>
              </w:rPr>
              <w:fldChar w:fldCharType="separate"/>
            </w:r>
            <w:r w:rsidR="008329C9">
              <w:rPr>
                <w:webHidden/>
              </w:rPr>
              <w:t>5</w:t>
            </w:r>
            <w:r w:rsidR="008329C9">
              <w:rPr>
                <w:webHidden/>
              </w:rPr>
              <w:fldChar w:fldCharType="end"/>
            </w:r>
          </w:hyperlink>
        </w:p>
        <w:p w14:paraId="7812D472" w14:textId="041C7D0E" w:rsidR="008329C9" w:rsidRDefault="00414014">
          <w:pPr>
            <w:pStyle w:val="TOC1"/>
            <w:rPr>
              <w:rFonts w:eastAsiaTheme="minorEastAsia" w:cstheme="minorBidi"/>
              <w:b w:val="0"/>
              <w:color w:val="auto"/>
              <w:sz w:val="24"/>
              <w:szCs w:val="24"/>
              <w:lang w:val="en-AU" w:eastAsia="en-GB"/>
            </w:rPr>
          </w:pPr>
          <w:hyperlink w:anchor="_Toc117667167" w:history="1">
            <w:r w:rsidR="008329C9" w:rsidRPr="007C6896">
              <w:rPr>
                <w:rStyle w:val="Hyperlink"/>
                <w:lang w:val="en-GB"/>
              </w:rPr>
              <w:t>Individuals &amp; families</w:t>
            </w:r>
            <w:r w:rsidR="008329C9">
              <w:rPr>
                <w:webHidden/>
              </w:rPr>
              <w:tab/>
            </w:r>
            <w:r w:rsidR="008329C9">
              <w:rPr>
                <w:webHidden/>
              </w:rPr>
              <w:fldChar w:fldCharType="begin"/>
            </w:r>
            <w:r w:rsidR="008329C9">
              <w:rPr>
                <w:webHidden/>
              </w:rPr>
              <w:instrText xml:space="preserve"> PAGEREF _Toc117667167 \h </w:instrText>
            </w:r>
            <w:r w:rsidR="008329C9">
              <w:rPr>
                <w:webHidden/>
              </w:rPr>
            </w:r>
            <w:r w:rsidR="008329C9">
              <w:rPr>
                <w:webHidden/>
              </w:rPr>
              <w:fldChar w:fldCharType="separate"/>
            </w:r>
            <w:r w:rsidR="008329C9">
              <w:rPr>
                <w:webHidden/>
              </w:rPr>
              <w:t>6</w:t>
            </w:r>
            <w:r w:rsidR="008329C9">
              <w:rPr>
                <w:webHidden/>
              </w:rPr>
              <w:fldChar w:fldCharType="end"/>
            </w:r>
          </w:hyperlink>
        </w:p>
        <w:p w14:paraId="056D0B62" w14:textId="7959D035" w:rsidR="008329C9" w:rsidRDefault="00414014">
          <w:pPr>
            <w:pStyle w:val="TOC2"/>
            <w:rPr>
              <w:rFonts w:asciiTheme="minorHAnsi" w:eastAsiaTheme="minorEastAsia" w:hAnsiTheme="minorHAnsi" w:cstheme="minorBidi"/>
              <w:color w:val="auto"/>
              <w:sz w:val="24"/>
              <w:szCs w:val="24"/>
              <w:lang w:val="en-AU" w:eastAsia="en-GB"/>
            </w:rPr>
          </w:pPr>
          <w:hyperlink w:anchor="_Toc117667168" w:history="1">
            <w:r w:rsidR="008329C9" w:rsidRPr="007C6896">
              <w:rPr>
                <w:rStyle w:val="Hyperlink"/>
                <w:lang w:val="en-GB"/>
              </w:rPr>
              <w:t>Child Care Subsidy increase</w:t>
            </w:r>
            <w:r w:rsidR="008329C9">
              <w:rPr>
                <w:webHidden/>
              </w:rPr>
              <w:tab/>
            </w:r>
            <w:r w:rsidR="008329C9">
              <w:rPr>
                <w:webHidden/>
              </w:rPr>
              <w:fldChar w:fldCharType="begin"/>
            </w:r>
            <w:r w:rsidR="008329C9">
              <w:rPr>
                <w:webHidden/>
              </w:rPr>
              <w:instrText xml:space="preserve"> PAGEREF _Toc117667168 \h </w:instrText>
            </w:r>
            <w:r w:rsidR="008329C9">
              <w:rPr>
                <w:webHidden/>
              </w:rPr>
            </w:r>
            <w:r w:rsidR="008329C9">
              <w:rPr>
                <w:webHidden/>
              </w:rPr>
              <w:fldChar w:fldCharType="separate"/>
            </w:r>
            <w:r w:rsidR="008329C9">
              <w:rPr>
                <w:webHidden/>
              </w:rPr>
              <w:t>6</w:t>
            </w:r>
            <w:r w:rsidR="008329C9">
              <w:rPr>
                <w:webHidden/>
              </w:rPr>
              <w:fldChar w:fldCharType="end"/>
            </w:r>
          </w:hyperlink>
        </w:p>
        <w:p w14:paraId="435A6CB8" w14:textId="330007F3" w:rsidR="008329C9" w:rsidRDefault="00414014">
          <w:pPr>
            <w:pStyle w:val="TOC2"/>
            <w:rPr>
              <w:rFonts w:asciiTheme="minorHAnsi" w:eastAsiaTheme="minorEastAsia" w:hAnsiTheme="minorHAnsi" w:cstheme="minorBidi"/>
              <w:color w:val="auto"/>
              <w:sz w:val="24"/>
              <w:szCs w:val="24"/>
              <w:lang w:val="en-AU" w:eastAsia="en-GB"/>
            </w:rPr>
          </w:pPr>
          <w:hyperlink w:anchor="_Toc117667169" w:history="1">
            <w:r w:rsidR="008329C9" w:rsidRPr="007C6896">
              <w:rPr>
                <w:rStyle w:val="Hyperlink"/>
                <w:lang w:val="en-GB"/>
              </w:rPr>
              <w:t>Paid parental leave reforms</w:t>
            </w:r>
            <w:r w:rsidR="008329C9">
              <w:rPr>
                <w:webHidden/>
              </w:rPr>
              <w:tab/>
            </w:r>
            <w:r w:rsidR="008329C9">
              <w:rPr>
                <w:webHidden/>
              </w:rPr>
              <w:fldChar w:fldCharType="begin"/>
            </w:r>
            <w:r w:rsidR="008329C9">
              <w:rPr>
                <w:webHidden/>
              </w:rPr>
              <w:instrText xml:space="preserve"> PAGEREF _Toc117667169 \h </w:instrText>
            </w:r>
            <w:r w:rsidR="008329C9">
              <w:rPr>
                <w:webHidden/>
              </w:rPr>
            </w:r>
            <w:r w:rsidR="008329C9">
              <w:rPr>
                <w:webHidden/>
              </w:rPr>
              <w:fldChar w:fldCharType="separate"/>
            </w:r>
            <w:r w:rsidR="008329C9">
              <w:rPr>
                <w:webHidden/>
              </w:rPr>
              <w:t>6</w:t>
            </w:r>
            <w:r w:rsidR="008329C9">
              <w:rPr>
                <w:webHidden/>
              </w:rPr>
              <w:fldChar w:fldCharType="end"/>
            </w:r>
          </w:hyperlink>
        </w:p>
        <w:p w14:paraId="7F099892" w14:textId="69DB4B52" w:rsidR="008329C9" w:rsidRDefault="00414014">
          <w:pPr>
            <w:pStyle w:val="TOC2"/>
            <w:rPr>
              <w:rFonts w:asciiTheme="minorHAnsi" w:eastAsiaTheme="minorEastAsia" w:hAnsiTheme="minorHAnsi" w:cstheme="minorBidi"/>
              <w:color w:val="auto"/>
              <w:sz w:val="24"/>
              <w:szCs w:val="24"/>
              <w:lang w:val="en-AU" w:eastAsia="en-GB"/>
            </w:rPr>
          </w:pPr>
          <w:hyperlink w:anchor="_Toc117667170" w:history="1">
            <w:r w:rsidR="008329C9" w:rsidRPr="007C6896">
              <w:rPr>
                <w:rStyle w:val="Hyperlink"/>
                <w:lang w:val="en-GB"/>
              </w:rPr>
              <w:t>Encouraging pensioners back into the workforce</w:t>
            </w:r>
            <w:r w:rsidR="008329C9">
              <w:rPr>
                <w:webHidden/>
              </w:rPr>
              <w:tab/>
            </w:r>
            <w:r w:rsidR="008329C9">
              <w:rPr>
                <w:webHidden/>
              </w:rPr>
              <w:fldChar w:fldCharType="begin"/>
            </w:r>
            <w:r w:rsidR="008329C9">
              <w:rPr>
                <w:webHidden/>
              </w:rPr>
              <w:instrText xml:space="preserve"> PAGEREF _Toc117667170 \h </w:instrText>
            </w:r>
            <w:r w:rsidR="008329C9">
              <w:rPr>
                <w:webHidden/>
              </w:rPr>
            </w:r>
            <w:r w:rsidR="008329C9">
              <w:rPr>
                <w:webHidden/>
              </w:rPr>
              <w:fldChar w:fldCharType="separate"/>
            </w:r>
            <w:r w:rsidR="008329C9">
              <w:rPr>
                <w:webHidden/>
              </w:rPr>
              <w:t>7</w:t>
            </w:r>
            <w:r w:rsidR="008329C9">
              <w:rPr>
                <w:webHidden/>
              </w:rPr>
              <w:fldChar w:fldCharType="end"/>
            </w:r>
          </w:hyperlink>
        </w:p>
        <w:p w14:paraId="2E2F0F0D" w14:textId="7B24EDE1" w:rsidR="008329C9" w:rsidRDefault="00414014">
          <w:pPr>
            <w:pStyle w:val="TOC2"/>
            <w:rPr>
              <w:rFonts w:asciiTheme="minorHAnsi" w:eastAsiaTheme="minorEastAsia" w:hAnsiTheme="minorHAnsi" w:cstheme="minorBidi"/>
              <w:color w:val="auto"/>
              <w:sz w:val="24"/>
              <w:szCs w:val="24"/>
              <w:lang w:val="en-AU" w:eastAsia="en-GB"/>
            </w:rPr>
          </w:pPr>
          <w:hyperlink w:anchor="_Toc117667171" w:history="1">
            <w:r w:rsidR="008329C9" w:rsidRPr="007C6896">
              <w:rPr>
                <w:rStyle w:val="Hyperlink"/>
              </w:rPr>
              <w:t>Aged care reform</w:t>
            </w:r>
            <w:r w:rsidR="008329C9">
              <w:rPr>
                <w:webHidden/>
              </w:rPr>
              <w:tab/>
            </w:r>
            <w:r w:rsidR="008329C9">
              <w:rPr>
                <w:webHidden/>
              </w:rPr>
              <w:fldChar w:fldCharType="begin"/>
            </w:r>
            <w:r w:rsidR="008329C9">
              <w:rPr>
                <w:webHidden/>
              </w:rPr>
              <w:instrText xml:space="preserve"> PAGEREF _Toc117667171 \h </w:instrText>
            </w:r>
            <w:r w:rsidR="008329C9">
              <w:rPr>
                <w:webHidden/>
              </w:rPr>
            </w:r>
            <w:r w:rsidR="008329C9">
              <w:rPr>
                <w:webHidden/>
              </w:rPr>
              <w:fldChar w:fldCharType="separate"/>
            </w:r>
            <w:r w:rsidR="008329C9">
              <w:rPr>
                <w:webHidden/>
              </w:rPr>
              <w:t>7</w:t>
            </w:r>
            <w:r w:rsidR="008329C9">
              <w:rPr>
                <w:webHidden/>
              </w:rPr>
              <w:fldChar w:fldCharType="end"/>
            </w:r>
          </w:hyperlink>
        </w:p>
        <w:p w14:paraId="5E6142DB" w14:textId="3CC70873" w:rsidR="008329C9" w:rsidRDefault="00414014">
          <w:pPr>
            <w:pStyle w:val="TOC2"/>
            <w:rPr>
              <w:rFonts w:asciiTheme="minorHAnsi" w:eastAsiaTheme="minorEastAsia" w:hAnsiTheme="minorHAnsi" w:cstheme="minorBidi"/>
              <w:color w:val="auto"/>
              <w:sz w:val="24"/>
              <w:szCs w:val="24"/>
              <w:lang w:val="en-AU" w:eastAsia="en-GB"/>
            </w:rPr>
          </w:pPr>
          <w:hyperlink w:anchor="_Toc117667172" w:history="1">
            <w:r w:rsidR="008329C9" w:rsidRPr="007C6896">
              <w:rPr>
                <w:rStyle w:val="Hyperlink"/>
              </w:rPr>
              <w:t>Additional funding for floods and natural disasters</w:t>
            </w:r>
            <w:r w:rsidR="008329C9">
              <w:rPr>
                <w:webHidden/>
              </w:rPr>
              <w:tab/>
            </w:r>
            <w:r w:rsidR="008329C9">
              <w:rPr>
                <w:webHidden/>
              </w:rPr>
              <w:fldChar w:fldCharType="begin"/>
            </w:r>
            <w:r w:rsidR="008329C9">
              <w:rPr>
                <w:webHidden/>
              </w:rPr>
              <w:instrText xml:space="preserve"> PAGEREF _Toc117667172 \h </w:instrText>
            </w:r>
            <w:r w:rsidR="008329C9">
              <w:rPr>
                <w:webHidden/>
              </w:rPr>
            </w:r>
            <w:r w:rsidR="008329C9">
              <w:rPr>
                <w:webHidden/>
              </w:rPr>
              <w:fldChar w:fldCharType="separate"/>
            </w:r>
            <w:r w:rsidR="008329C9">
              <w:rPr>
                <w:webHidden/>
              </w:rPr>
              <w:t>7</w:t>
            </w:r>
            <w:r w:rsidR="008329C9">
              <w:rPr>
                <w:webHidden/>
              </w:rPr>
              <w:fldChar w:fldCharType="end"/>
            </w:r>
          </w:hyperlink>
        </w:p>
        <w:p w14:paraId="544EC34B" w14:textId="20DAA569" w:rsidR="008329C9" w:rsidRDefault="00414014">
          <w:pPr>
            <w:pStyle w:val="TOC2"/>
            <w:rPr>
              <w:rFonts w:asciiTheme="minorHAnsi" w:eastAsiaTheme="minorEastAsia" w:hAnsiTheme="minorHAnsi" w:cstheme="minorBidi"/>
              <w:color w:val="auto"/>
              <w:sz w:val="24"/>
              <w:szCs w:val="24"/>
              <w:lang w:val="en-AU" w:eastAsia="en-GB"/>
            </w:rPr>
          </w:pPr>
          <w:hyperlink w:anchor="_Toc117667173" w:history="1">
            <w:r w:rsidR="008329C9" w:rsidRPr="007C6896">
              <w:rPr>
                <w:rStyle w:val="Hyperlink"/>
                <w:lang w:eastAsia="en-GB"/>
              </w:rPr>
              <w:t xml:space="preserve">Lifting the income </w:t>
            </w:r>
            <w:r w:rsidR="008329C9" w:rsidRPr="007C6896">
              <w:rPr>
                <w:rStyle w:val="Hyperlink"/>
              </w:rPr>
              <w:t>limit</w:t>
            </w:r>
            <w:r w:rsidR="008329C9" w:rsidRPr="007C6896">
              <w:rPr>
                <w:rStyle w:val="Hyperlink"/>
                <w:lang w:eastAsia="en-GB"/>
              </w:rPr>
              <w:t xml:space="preserve"> on Seniors Health Card</w:t>
            </w:r>
            <w:r w:rsidR="008329C9">
              <w:rPr>
                <w:webHidden/>
              </w:rPr>
              <w:tab/>
            </w:r>
            <w:r w:rsidR="008329C9">
              <w:rPr>
                <w:webHidden/>
              </w:rPr>
              <w:fldChar w:fldCharType="begin"/>
            </w:r>
            <w:r w:rsidR="008329C9">
              <w:rPr>
                <w:webHidden/>
              </w:rPr>
              <w:instrText xml:space="preserve"> PAGEREF _Toc117667173 \h </w:instrText>
            </w:r>
            <w:r w:rsidR="008329C9">
              <w:rPr>
                <w:webHidden/>
              </w:rPr>
            </w:r>
            <w:r w:rsidR="008329C9">
              <w:rPr>
                <w:webHidden/>
              </w:rPr>
              <w:fldChar w:fldCharType="separate"/>
            </w:r>
            <w:r w:rsidR="008329C9">
              <w:rPr>
                <w:webHidden/>
              </w:rPr>
              <w:t>7</w:t>
            </w:r>
            <w:r w:rsidR="008329C9">
              <w:rPr>
                <w:webHidden/>
              </w:rPr>
              <w:fldChar w:fldCharType="end"/>
            </w:r>
          </w:hyperlink>
        </w:p>
        <w:p w14:paraId="6CA6F820" w14:textId="18898379" w:rsidR="008329C9" w:rsidRDefault="00414014">
          <w:pPr>
            <w:pStyle w:val="TOC2"/>
            <w:rPr>
              <w:rFonts w:asciiTheme="minorHAnsi" w:eastAsiaTheme="minorEastAsia" w:hAnsiTheme="minorHAnsi" w:cstheme="minorBidi"/>
              <w:color w:val="auto"/>
              <w:sz w:val="24"/>
              <w:szCs w:val="24"/>
              <w:lang w:val="en-AU" w:eastAsia="en-GB"/>
            </w:rPr>
          </w:pPr>
          <w:hyperlink w:anchor="_Toc117667174" w:history="1">
            <w:r w:rsidR="008329C9" w:rsidRPr="007C6896">
              <w:rPr>
                <w:rStyle w:val="Hyperlink"/>
              </w:rPr>
              <w:t>Income support asset test extended on proceeds of sale of main residence</w:t>
            </w:r>
            <w:r w:rsidR="008329C9">
              <w:rPr>
                <w:webHidden/>
              </w:rPr>
              <w:tab/>
            </w:r>
            <w:r w:rsidR="008329C9">
              <w:rPr>
                <w:webHidden/>
              </w:rPr>
              <w:fldChar w:fldCharType="begin"/>
            </w:r>
            <w:r w:rsidR="008329C9">
              <w:rPr>
                <w:webHidden/>
              </w:rPr>
              <w:instrText xml:space="preserve"> PAGEREF _Toc117667174 \h </w:instrText>
            </w:r>
            <w:r w:rsidR="008329C9">
              <w:rPr>
                <w:webHidden/>
              </w:rPr>
            </w:r>
            <w:r w:rsidR="008329C9">
              <w:rPr>
                <w:webHidden/>
              </w:rPr>
              <w:fldChar w:fldCharType="separate"/>
            </w:r>
            <w:r w:rsidR="008329C9">
              <w:rPr>
                <w:webHidden/>
              </w:rPr>
              <w:t>8</w:t>
            </w:r>
            <w:r w:rsidR="008329C9">
              <w:rPr>
                <w:webHidden/>
              </w:rPr>
              <w:fldChar w:fldCharType="end"/>
            </w:r>
          </w:hyperlink>
        </w:p>
        <w:p w14:paraId="5C89C255" w14:textId="0430C8FF" w:rsidR="008329C9" w:rsidRDefault="00414014">
          <w:pPr>
            <w:pStyle w:val="TOC2"/>
            <w:rPr>
              <w:rFonts w:asciiTheme="minorHAnsi" w:eastAsiaTheme="minorEastAsia" w:hAnsiTheme="minorHAnsi" w:cstheme="minorBidi"/>
              <w:color w:val="auto"/>
              <w:sz w:val="24"/>
              <w:szCs w:val="24"/>
              <w:lang w:val="en-AU" w:eastAsia="en-GB"/>
            </w:rPr>
          </w:pPr>
          <w:hyperlink w:anchor="_Toc117667175" w:history="1">
            <w:r w:rsidR="008329C9" w:rsidRPr="007C6896">
              <w:rPr>
                <w:rStyle w:val="Hyperlink"/>
              </w:rPr>
              <w:t>Total and permanent incapacity payments to veterans</w:t>
            </w:r>
            <w:r w:rsidR="008329C9">
              <w:rPr>
                <w:webHidden/>
              </w:rPr>
              <w:tab/>
            </w:r>
            <w:r w:rsidR="008329C9">
              <w:rPr>
                <w:webHidden/>
              </w:rPr>
              <w:fldChar w:fldCharType="begin"/>
            </w:r>
            <w:r w:rsidR="008329C9">
              <w:rPr>
                <w:webHidden/>
              </w:rPr>
              <w:instrText xml:space="preserve"> PAGEREF _Toc117667175 \h </w:instrText>
            </w:r>
            <w:r w:rsidR="008329C9">
              <w:rPr>
                <w:webHidden/>
              </w:rPr>
            </w:r>
            <w:r w:rsidR="008329C9">
              <w:rPr>
                <w:webHidden/>
              </w:rPr>
              <w:fldChar w:fldCharType="separate"/>
            </w:r>
            <w:r w:rsidR="008329C9">
              <w:rPr>
                <w:webHidden/>
              </w:rPr>
              <w:t>8</w:t>
            </w:r>
            <w:r w:rsidR="008329C9">
              <w:rPr>
                <w:webHidden/>
              </w:rPr>
              <w:fldChar w:fldCharType="end"/>
            </w:r>
          </w:hyperlink>
        </w:p>
        <w:p w14:paraId="2BF1277F" w14:textId="30E49822" w:rsidR="008329C9" w:rsidRDefault="00414014">
          <w:pPr>
            <w:pStyle w:val="TOC2"/>
            <w:rPr>
              <w:rFonts w:asciiTheme="minorHAnsi" w:eastAsiaTheme="minorEastAsia" w:hAnsiTheme="minorHAnsi" w:cstheme="minorBidi"/>
              <w:color w:val="auto"/>
              <w:sz w:val="24"/>
              <w:szCs w:val="24"/>
              <w:lang w:val="en-AU" w:eastAsia="en-GB"/>
            </w:rPr>
          </w:pPr>
          <w:hyperlink w:anchor="_Toc117667176" w:history="1">
            <w:r w:rsidR="008329C9" w:rsidRPr="007C6896">
              <w:rPr>
                <w:rStyle w:val="Hyperlink"/>
              </w:rPr>
              <w:t>Community batteries for household solar</w:t>
            </w:r>
            <w:r w:rsidR="008329C9">
              <w:rPr>
                <w:webHidden/>
              </w:rPr>
              <w:tab/>
            </w:r>
            <w:r w:rsidR="008329C9">
              <w:rPr>
                <w:webHidden/>
              </w:rPr>
              <w:fldChar w:fldCharType="begin"/>
            </w:r>
            <w:r w:rsidR="008329C9">
              <w:rPr>
                <w:webHidden/>
              </w:rPr>
              <w:instrText xml:space="preserve"> PAGEREF _Toc117667176 \h </w:instrText>
            </w:r>
            <w:r w:rsidR="008329C9">
              <w:rPr>
                <w:webHidden/>
              </w:rPr>
            </w:r>
            <w:r w:rsidR="008329C9">
              <w:rPr>
                <w:webHidden/>
              </w:rPr>
              <w:fldChar w:fldCharType="separate"/>
            </w:r>
            <w:r w:rsidR="008329C9">
              <w:rPr>
                <w:webHidden/>
              </w:rPr>
              <w:t>8</w:t>
            </w:r>
            <w:r w:rsidR="008329C9">
              <w:rPr>
                <w:webHidden/>
              </w:rPr>
              <w:fldChar w:fldCharType="end"/>
            </w:r>
          </w:hyperlink>
        </w:p>
        <w:p w14:paraId="5D850D33" w14:textId="799E7AF3" w:rsidR="008329C9" w:rsidRDefault="00414014">
          <w:pPr>
            <w:pStyle w:val="TOC1"/>
            <w:rPr>
              <w:rFonts w:eastAsiaTheme="minorEastAsia" w:cstheme="minorBidi"/>
              <w:b w:val="0"/>
              <w:color w:val="auto"/>
              <w:sz w:val="24"/>
              <w:szCs w:val="24"/>
              <w:lang w:val="en-AU" w:eastAsia="en-GB"/>
            </w:rPr>
          </w:pPr>
          <w:hyperlink w:anchor="_Toc117667177" w:history="1">
            <w:r w:rsidR="008329C9" w:rsidRPr="007C6896">
              <w:rPr>
                <w:rStyle w:val="Hyperlink"/>
              </w:rPr>
              <w:t>Superannuation &amp; investors</w:t>
            </w:r>
            <w:r w:rsidR="008329C9">
              <w:rPr>
                <w:webHidden/>
              </w:rPr>
              <w:tab/>
            </w:r>
            <w:r w:rsidR="008329C9">
              <w:rPr>
                <w:webHidden/>
              </w:rPr>
              <w:fldChar w:fldCharType="begin"/>
            </w:r>
            <w:r w:rsidR="008329C9">
              <w:rPr>
                <w:webHidden/>
              </w:rPr>
              <w:instrText xml:space="preserve"> PAGEREF _Toc117667177 \h </w:instrText>
            </w:r>
            <w:r w:rsidR="008329C9">
              <w:rPr>
                <w:webHidden/>
              </w:rPr>
            </w:r>
            <w:r w:rsidR="008329C9">
              <w:rPr>
                <w:webHidden/>
              </w:rPr>
              <w:fldChar w:fldCharType="separate"/>
            </w:r>
            <w:r w:rsidR="008329C9">
              <w:rPr>
                <w:webHidden/>
              </w:rPr>
              <w:t>8</w:t>
            </w:r>
            <w:r w:rsidR="008329C9">
              <w:rPr>
                <w:webHidden/>
              </w:rPr>
              <w:fldChar w:fldCharType="end"/>
            </w:r>
          </w:hyperlink>
        </w:p>
        <w:p w14:paraId="5458441A" w14:textId="22CE622C" w:rsidR="008329C9" w:rsidRDefault="00414014">
          <w:pPr>
            <w:pStyle w:val="TOC2"/>
            <w:rPr>
              <w:rFonts w:asciiTheme="minorHAnsi" w:eastAsiaTheme="minorEastAsia" w:hAnsiTheme="minorHAnsi" w:cstheme="minorBidi"/>
              <w:color w:val="auto"/>
              <w:sz w:val="24"/>
              <w:szCs w:val="24"/>
              <w:lang w:val="en-AU" w:eastAsia="en-GB"/>
            </w:rPr>
          </w:pPr>
          <w:hyperlink w:anchor="_Toc117667178" w:history="1">
            <w:r w:rsidR="008329C9" w:rsidRPr="007C6896">
              <w:rPr>
                <w:rStyle w:val="Hyperlink"/>
              </w:rPr>
              <w:t>Change to taxation of off-market share buy-backs by listed companies</w:t>
            </w:r>
            <w:r w:rsidR="008329C9">
              <w:rPr>
                <w:webHidden/>
              </w:rPr>
              <w:tab/>
            </w:r>
            <w:r w:rsidR="008329C9">
              <w:rPr>
                <w:webHidden/>
              </w:rPr>
              <w:fldChar w:fldCharType="begin"/>
            </w:r>
            <w:r w:rsidR="008329C9">
              <w:rPr>
                <w:webHidden/>
              </w:rPr>
              <w:instrText xml:space="preserve"> PAGEREF _Toc117667178 \h </w:instrText>
            </w:r>
            <w:r w:rsidR="008329C9">
              <w:rPr>
                <w:webHidden/>
              </w:rPr>
            </w:r>
            <w:r w:rsidR="008329C9">
              <w:rPr>
                <w:webHidden/>
              </w:rPr>
              <w:fldChar w:fldCharType="separate"/>
            </w:r>
            <w:r w:rsidR="008329C9">
              <w:rPr>
                <w:webHidden/>
              </w:rPr>
              <w:t>8</w:t>
            </w:r>
            <w:r w:rsidR="008329C9">
              <w:rPr>
                <w:webHidden/>
              </w:rPr>
              <w:fldChar w:fldCharType="end"/>
            </w:r>
          </w:hyperlink>
        </w:p>
        <w:p w14:paraId="59398CD5" w14:textId="191A160F" w:rsidR="008329C9" w:rsidRDefault="00414014">
          <w:pPr>
            <w:pStyle w:val="TOC2"/>
            <w:rPr>
              <w:rFonts w:asciiTheme="minorHAnsi" w:eastAsiaTheme="minorEastAsia" w:hAnsiTheme="minorHAnsi" w:cstheme="minorBidi"/>
              <w:color w:val="auto"/>
              <w:sz w:val="24"/>
              <w:szCs w:val="24"/>
              <w:lang w:val="en-AU" w:eastAsia="en-GB"/>
            </w:rPr>
          </w:pPr>
          <w:hyperlink w:anchor="_Toc117667179" w:history="1">
            <w:r w:rsidR="008329C9" w:rsidRPr="007C6896">
              <w:rPr>
                <w:rStyle w:val="Hyperlink"/>
              </w:rPr>
              <w:t>‘Downsizer’ eligibility reduced to 55</w:t>
            </w:r>
            <w:r w:rsidR="008329C9">
              <w:rPr>
                <w:webHidden/>
              </w:rPr>
              <w:tab/>
            </w:r>
            <w:r w:rsidR="008329C9">
              <w:rPr>
                <w:webHidden/>
              </w:rPr>
              <w:fldChar w:fldCharType="begin"/>
            </w:r>
            <w:r w:rsidR="008329C9">
              <w:rPr>
                <w:webHidden/>
              </w:rPr>
              <w:instrText xml:space="preserve"> PAGEREF _Toc117667179 \h </w:instrText>
            </w:r>
            <w:r w:rsidR="008329C9">
              <w:rPr>
                <w:webHidden/>
              </w:rPr>
            </w:r>
            <w:r w:rsidR="008329C9">
              <w:rPr>
                <w:webHidden/>
              </w:rPr>
              <w:fldChar w:fldCharType="separate"/>
            </w:r>
            <w:r w:rsidR="008329C9">
              <w:rPr>
                <w:webHidden/>
              </w:rPr>
              <w:t>9</w:t>
            </w:r>
            <w:r w:rsidR="008329C9">
              <w:rPr>
                <w:webHidden/>
              </w:rPr>
              <w:fldChar w:fldCharType="end"/>
            </w:r>
          </w:hyperlink>
        </w:p>
        <w:p w14:paraId="0FDCBD18" w14:textId="1E5780D1" w:rsidR="008329C9" w:rsidRDefault="00414014">
          <w:pPr>
            <w:pStyle w:val="TOC2"/>
            <w:rPr>
              <w:rFonts w:asciiTheme="minorHAnsi" w:eastAsiaTheme="minorEastAsia" w:hAnsiTheme="minorHAnsi" w:cstheme="minorBidi"/>
              <w:color w:val="auto"/>
              <w:sz w:val="24"/>
              <w:szCs w:val="24"/>
              <w:lang w:val="en-AU" w:eastAsia="en-GB"/>
            </w:rPr>
          </w:pPr>
          <w:hyperlink w:anchor="_Toc117667180" w:history="1">
            <w:r w:rsidR="008329C9" w:rsidRPr="007C6896">
              <w:rPr>
                <w:rStyle w:val="Hyperlink"/>
              </w:rPr>
              <w:t>Delayed Relaxation of SMSF residency requirements</w:t>
            </w:r>
            <w:r w:rsidR="008329C9">
              <w:rPr>
                <w:webHidden/>
              </w:rPr>
              <w:tab/>
            </w:r>
            <w:r w:rsidR="008329C9">
              <w:rPr>
                <w:webHidden/>
              </w:rPr>
              <w:fldChar w:fldCharType="begin"/>
            </w:r>
            <w:r w:rsidR="008329C9">
              <w:rPr>
                <w:webHidden/>
              </w:rPr>
              <w:instrText xml:space="preserve"> PAGEREF _Toc117667180 \h </w:instrText>
            </w:r>
            <w:r w:rsidR="008329C9">
              <w:rPr>
                <w:webHidden/>
              </w:rPr>
            </w:r>
            <w:r w:rsidR="008329C9">
              <w:rPr>
                <w:webHidden/>
              </w:rPr>
              <w:fldChar w:fldCharType="separate"/>
            </w:r>
            <w:r w:rsidR="008329C9">
              <w:rPr>
                <w:webHidden/>
              </w:rPr>
              <w:t>9</w:t>
            </w:r>
            <w:r w:rsidR="008329C9">
              <w:rPr>
                <w:webHidden/>
              </w:rPr>
              <w:fldChar w:fldCharType="end"/>
            </w:r>
          </w:hyperlink>
        </w:p>
        <w:p w14:paraId="224F02E9" w14:textId="1C031881" w:rsidR="008329C9" w:rsidRDefault="00414014">
          <w:pPr>
            <w:pStyle w:val="TOC2"/>
            <w:rPr>
              <w:rFonts w:asciiTheme="minorHAnsi" w:eastAsiaTheme="minorEastAsia" w:hAnsiTheme="minorHAnsi" w:cstheme="minorBidi"/>
              <w:color w:val="auto"/>
              <w:sz w:val="24"/>
              <w:szCs w:val="24"/>
              <w:lang w:val="en-AU" w:eastAsia="en-GB"/>
            </w:rPr>
          </w:pPr>
          <w:hyperlink w:anchor="_Toc117667181" w:history="1">
            <w:r w:rsidR="008329C9" w:rsidRPr="007C6896">
              <w:rPr>
                <w:rStyle w:val="Hyperlink"/>
              </w:rPr>
              <w:t>Scrapped 3 year SMSF audit requirement</w:t>
            </w:r>
            <w:r w:rsidR="008329C9">
              <w:rPr>
                <w:webHidden/>
              </w:rPr>
              <w:tab/>
            </w:r>
            <w:r w:rsidR="008329C9">
              <w:rPr>
                <w:webHidden/>
              </w:rPr>
              <w:fldChar w:fldCharType="begin"/>
            </w:r>
            <w:r w:rsidR="008329C9">
              <w:rPr>
                <w:webHidden/>
              </w:rPr>
              <w:instrText xml:space="preserve"> PAGEREF _Toc117667181 \h </w:instrText>
            </w:r>
            <w:r w:rsidR="008329C9">
              <w:rPr>
                <w:webHidden/>
              </w:rPr>
            </w:r>
            <w:r w:rsidR="008329C9">
              <w:rPr>
                <w:webHidden/>
              </w:rPr>
              <w:fldChar w:fldCharType="separate"/>
            </w:r>
            <w:r w:rsidR="008329C9">
              <w:rPr>
                <w:webHidden/>
              </w:rPr>
              <w:t>9</w:t>
            </w:r>
            <w:r w:rsidR="008329C9">
              <w:rPr>
                <w:webHidden/>
              </w:rPr>
              <w:fldChar w:fldCharType="end"/>
            </w:r>
          </w:hyperlink>
        </w:p>
        <w:p w14:paraId="4C2F592B" w14:textId="2B3852FC" w:rsidR="008329C9" w:rsidRDefault="00414014">
          <w:pPr>
            <w:pStyle w:val="TOC2"/>
            <w:rPr>
              <w:rFonts w:asciiTheme="minorHAnsi" w:eastAsiaTheme="minorEastAsia" w:hAnsiTheme="minorHAnsi" w:cstheme="minorBidi"/>
              <w:color w:val="auto"/>
              <w:sz w:val="24"/>
              <w:szCs w:val="24"/>
              <w:lang w:val="en-AU" w:eastAsia="en-GB"/>
            </w:rPr>
          </w:pPr>
          <w:hyperlink w:anchor="_Toc117667182" w:history="1">
            <w:r w:rsidR="008329C9" w:rsidRPr="007C6896">
              <w:rPr>
                <w:rStyle w:val="Hyperlink"/>
                <w:lang w:val="en-GB"/>
              </w:rPr>
              <w:t>Cryptocurrency not a foreign currency</w:t>
            </w:r>
            <w:r w:rsidR="008329C9">
              <w:rPr>
                <w:webHidden/>
              </w:rPr>
              <w:tab/>
            </w:r>
            <w:r w:rsidR="008329C9">
              <w:rPr>
                <w:webHidden/>
              </w:rPr>
              <w:fldChar w:fldCharType="begin"/>
            </w:r>
            <w:r w:rsidR="008329C9">
              <w:rPr>
                <w:webHidden/>
              </w:rPr>
              <w:instrText xml:space="preserve"> PAGEREF _Toc117667182 \h </w:instrText>
            </w:r>
            <w:r w:rsidR="008329C9">
              <w:rPr>
                <w:webHidden/>
              </w:rPr>
            </w:r>
            <w:r w:rsidR="008329C9">
              <w:rPr>
                <w:webHidden/>
              </w:rPr>
              <w:fldChar w:fldCharType="separate"/>
            </w:r>
            <w:r w:rsidR="008329C9">
              <w:rPr>
                <w:webHidden/>
              </w:rPr>
              <w:t>9</w:t>
            </w:r>
            <w:r w:rsidR="008329C9">
              <w:rPr>
                <w:webHidden/>
              </w:rPr>
              <w:fldChar w:fldCharType="end"/>
            </w:r>
          </w:hyperlink>
        </w:p>
        <w:p w14:paraId="4F7CAD1F" w14:textId="17276625" w:rsidR="008329C9" w:rsidRDefault="00414014">
          <w:pPr>
            <w:pStyle w:val="TOC1"/>
            <w:rPr>
              <w:rFonts w:eastAsiaTheme="minorEastAsia" w:cstheme="minorBidi"/>
              <w:b w:val="0"/>
              <w:color w:val="auto"/>
              <w:sz w:val="24"/>
              <w:szCs w:val="24"/>
              <w:lang w:val="en-AU" w:eastAsia="en-GB"/>
            </w:rPr>
          </w:pPr>
          <w:hyperlink w:anchor="_Toc117667183" w:history="1">
            <w:r w:rsidR="008329C9" w:rsidRPr="007C6896">
              <w:rPr>
                <w:rStyle w:val="Hyperlink"/>
              </w:rPr>
              <w:t>Business &amp; employers</w:t>
            </w:r>
            <w:r w:rsidR="008329C9">
              <w:rPr>
                <w:webHidden/>
              </w:rPr>
              <w:tab/>
            </w:r>
            <w:r w:rsidR="008329C9">
              <w:rPr>
                <w:webHidden/>
              </w:rPr>
              <w:fldChar w:fldCharType="begin"/>
            </w:r>
            <w:r w:rsidR="008329C9">
              <w:rPr>
                <w:webHidden/>
              </w:rPr>
              <w:instrText xml:space="preserve"> PAGEREF _Toc117667183 \h </w:instrText>
            </w:r>
            <w:r w:rsidR="008329C9">
              <w:rPr>
                <w:webHidden/>
              </w:rPr>
            </w:r>
            <w:r w:rsidR="008329C9">
              <w:rPr>
                <w:webHidden/>
              </w:rPr>
              <w:fldChar w:fldCharType="separate"/>
            </w:r>
            <w:r w:rsidR="008329C9">
              <w:rPr>
                <w:webHidden/>
              </w:rPr>
              <w:t>10</w:t>
            </w:r>
            <w:r w:rsidR="008329C9">
              <w:rPr>
                <w:webHidden/>
              </w:rPr>
              <w:fldChar w:fldCharType="end"/>
            </w:r>
          </w:hyperlink>
        </w:p>
        <w:p w14:paraId="7D0A6AAE" w14:textId="3CFE589C" w:rsidR="008329C9" w:rsidRDefault="00414014">
          <w:pPr>
            <w:pStyle w:val="TOC2"/>
            <w:rPr>
              <w:rFonts w:asciiTheme="minorHAnsi" w:eastAsiaTheme="minorEastAsia" w:hAnsiTheme="minorHAnsi" w:cstheme="minorBidi"/>
              <w:color w:val="auto"/>
              <w:sz w:val="24"/>
              <w:szCs w:val="24"/>
              <w:lang w:val="en-AU" w:eastAsia="en-GB"/>
            </w:rPr>
          </w:pPr>
          <w:hyperlink w:anchor="_Toc117667184" w:history="1">
            <w:r w:rsidR="008329C9" w:rsidRPr="007C6896">
              <w:rPr>
                <w:rStyle w:val="Hyperlink"/>
              </w:rPr>
              <w:t>Removed Self-assessment of intangible assets</w:t>
            </w:r>
            <w:r w:rsidR="008329C9">
              <w:rPr>
                <w:webHidden/>
              </w:rPr>
              <w:tab/>
            </w:r>
            <w:r w:rsidR="008329C9">
              <w:rPr>
                <w:webHidden/>
              </w:rPr>
              <w:fldChar w:fldCharType="begin"/>
            </w:r>
            <w:r w:rsidR="008329C9">
              <w:rPr>
                <w:webHidden/>
              </w:rPr>
              <w:instrText xml:space="preserve"> PAGEREF _Toc117667184 \h </w:instrText>
            </w:r>
            <w:r w:rsidR="008329C9">
              <w:rPr>
                <w:webHidden/>
              </w:rPr>
            </w:r>
            <w:r w:rsidR="008329C9">
              <w:rPr>
                <w:webHidden/>
              </w:rPr>
              <w:fldChar w:fldCharType="separate"/>
            </w:r>
            <w:r w:rsidR="008329C9">
              <w:rPr>
                <w:webHidden/>
              </w:rPr>
              <w:t>10</w:t>
            </w:r>
            <w:r w:rsidR="008329C9">
              <w:rPr>
                <w:webHidden/>
              </w:rPr>
              <w:fldChar w:fldCharType="end"/>
            </w:r>
          </w:hyperlink>
        </w:p>
        <w:p w14:paraId="13AB8F0C" w14:textId="575B2BF6" w:rsidR="008329C9" w:rsidRDefault="00414014">
          <w:pPr>
            <w:pStyle w:val="TOC2"/>
            <w:rPr>
              <w:rFonts w:asciiTheme="minorHAnsi" w:eastAsiaTheme="minorEastAsia" w:hAnsiTheme="minorHAnsi" w:cstheme="minorBidi"/>
              <w:color w:val="auto"/>
              <w:sz w:val="24"/>
              <w:szCs w:val="24"/>
              <w:lang w:val="en-AU" w:eastAsia="en-GB"/>
            </w:rPr>
          </w:pPr>
          <w:hyperlink w:anchor="_Toc117667185" w:history="1">
            <w:r w:rsidR="008329C9" w:rsidRPr="007C6896">
              <w:rPr>
                <w:rStyle w:val="Hyperlink"/>
              </w:rPr>
              <w:t>Dramatic jump in penalties for competition and consumer law breaches</w:t>
            </w:r>
            <w:r w:rsidR="008329C9">
              <w:rPr>
                <w:webHidden/>
              </w:rPr>
              <w:tab/>
            </w:r>
            <w:r w:rsidR="008329C9">
              <w:rPr>
                <w:webHidden/>
              </w:rPr>
              <w:fldChar w:fldCharType="begin"/>
            </w:r>
            <w:r w:rsidR="008329C9">
              <w:rPr>
                <w:webHidden/>
              </w:rPr>
              <w:instrText xml:space="preserve"> PAGEREF _Toc117667185 \h </w:instrText>
            </w:r>
            <w:r w:rsidR="008329C9">
              <w:rPr>
                <w:webHidden/>
              </w:rPr>
            </w:r>
            <w:r w:rsidR="008329C9">
              <w:rPr>
                <w:webHidden/>
              </w:rPr>
              <w:fldChar w:fldCharType="separate"/>
            </w:r>
            <w:r w:rsidR="008329C9">
              <w:rPr>
                <w:webHidden/>
              </w:rPr>
              <w:t>10</w:t>
            </w:r>
            <w:r w:rsidR="008329C9">
              <w:rPr>
                <w:webHidden/>
              </w:rPr>
              <w:fldChar w:fldCharType="end"/>
            </w:r>
          </w:hyperlink>
        </w:p>
        <w:p w14:paraId="379B8053" w14:textId="10338979" w:rsidR="008329C9" w:rsidRDefault="00414014">
          <w:pPr>
            <w:pStyle w:val="TOC2"/>
            <w:rPr>
              <w:rFonts w:asciiTheme="minorHAnsi" w:eastAsiaTheme="minorEastAsia" w:hAnsiTheme="minorHAnsi" w:cstheme="minorBidi"/>
              <w:color w:val="auto"/>
              <w:sz w:val="24"/>
              <w:szCs w:val="24"/>
              <w:lang w:val="en-AU" w:eastAsia="en-GB"/>
            </w:rPr>
          </w:pPr>
          <w:hyperlink w:anchor="_Toc117667186" w:history="1">
            <w:r w:rsidR="008329C9" w:rsidRPr="007C6896">
              <w:rPr>
                <w:rStyle w:val="Hyperlink"/>
              </w:rPr>
              <w:t>Energy efficiency grants for SMEs</w:t>
            </w:r>
            <w:r w:rsidR="008329C9">
              <w:rPr>
                <w:webHidden/>
              </w:rPr>
              <w:tab/>
            </w:r>
            <w:r w:rsidR="008329C9">
              <w:rPr>
                <w:webHidden/>
              </w:rPr>
              <w:fldChar w:fldCharType="begin"/>
            </w:r>
            <w:r w:rsidR="008329C9">
              <w:rPr>
                <w:webHidden/>
              </w:rPr>
              <w:instrText xml:space="preserve"> PAGEREF _Toc117667186 \h </w:instrText>
            </w:r>
            <w:r w:rsidR="008329C9">
              <w:rPr>
                <w:webHidden/>
              </w:rPr>
            </w:r>
            <w:r w:rsidR="008329C9">
              <w:rPr>
                <w:webHidden/>
              </w:rPr>
              <w:fldChar w:fldCharType="separate"/>
            </w:r>
            <w:r w:rsidR="008329C9">
              <w:rPr>
                <w:webHidden/>
              </w:rPr>
              <w:t>10</w:t>
            </w:r>
            <w:r w:rsidR="008329C9">
              <w:rPr>
                <w:webHidden/>
              </w:rPr>
              <w:fldChar w:fldCharType="end"/>
            </w:r>
          </w:hyperlink>
        </w:p>
        <w:p w14:paraId="6396B622" w14:textId="4A80F91D" w:rsidR="008329C9" w:rsidRDefault="00414014">
          <w:pPr>
            <w:pStyle w:val="TOC2"/>
            <w:rPr>
              <w:rFonts w:asciiTheme="minorHAnsi" w:eastAsiaTheme="minorEastAsia" w:hAnsiTheme="minorHAnsi" w:cstheme="minorBidi"/>
              <w:color w:val="auto"/>
              <w:sz w:val="24"/>
              <w:szCs w:val="24"/>
              <w:lang w:val="en-AU" w:eastAsia="en-GB"/>
            </w:rPr>
          </w:pPr>
          <w:hyperlink w:anchor="_Toc117667187" w:history="1">
            <w:r w:rsidR="008329C9" w:rsidRPr="007C6896">
              <w:rPr>
                <w:rStyle w:val="Hyperlink"/>
              </w:rPr>
              <w:t>Delayed Ridesharing reporting requirements</w:t>
            </w:r>
            <w:r w:rsidR="008329C9">
              <w:rPr>
                <w:webHidden/>
              </w:rPr>
              <w:tab/>
            </w:r>
            <w:r w:rsidR="008329C9">
              <w:rPr>
                <w:webHidden/>
              </w:rPr>
              <w:fldChar w:fldCharType="begin"/>
            </w:r>
            <w:r w:rsidR="008329C9">
              <w:rPr>
                <w:webHidden/>
              </w:rPr>
              <w:instrText xml:space="preserve"> PAGEREF _Toc117667187 \h </w:instrText>
            </w:r>
            <w:r w:rsidR="008329C9">
              <w:rPr>
                <w:webHidden/>
              </w:rPr>
            </w:r>
            <w:r w:rsidR="008329C9">
              <w:rPr>
                <w:webHidden/>
              </w:rPr>
              <w:fldChar w:fldCharType="separate"/>
            </w:r>
            <w:r w:rsidR="008329C9">
              <w:rPr>
                <w:webHidden/>
              </w:rPr>
              <w:t>10</w:t>
            </w:r>
            <w:r w:rsidR="008329C9">
              <w:rPr>
                <w:webHidden/>
              </w:rPr>
              <w:fldChar w:fldCharType="end"/>
            </w:r>
          </w:hyperlink>
        </w:p>
        <w:p w14:paraId="27D62938" w14:textId="60F07BE4" w:rsidR="008329C9" w:rsidRDefault="00414014">
          <w:pPr>
            <w:pStyle w:val="TOC2"/>
            <w:rPr>
              <w:rFonts w:asciiTheme="minorHAnsi" w:eastAsiaTheme="minorEastAsia" w:hAnsiTheme="minorHAnsi" w:cstheme="minorBidi"/>
              <w:color w:val="auto"/>
              <w:sz w:val="24"/>
              <w:szCs w:val="24"/>
              <w:lang w:val="en-AU" w:eastAsia="en-GB"/>
            </w:rPr>
          </w:pPr>
          <w:hyperlink w:anchor="_Toc117667188" w:history="1">
            <w:r w:rsidR="008329C9" w:rsidRPr="007C6896">
              <w:rPr>
                <w:rStyle w:val="Hyperlink"/>
              </w:rPr>
              <w:t>Thin cap rules introduce earnings based test</w:t>
            </w:r>
            <w:r w:rsidR="008329C9">
              <w:rPr>
                <w:webHidden/>
              </w:rPr>
              <w:tab/>
            </w:r>
            <w:r w:rsidR="008329C9">
              <w:rPr>
                <w:webHidden/>
              </w:rPr>
              <w:fldChar w:fldCharType="begin"/>
            </w:r>
            <w:r w:rsidR="008329C9">
              <w:rPr>
                <w:webHidden/>
              </w:rPr>
              <w:instrText xml:space="preserve"> PAGEREF _Toc117667188 \h </w:instrText>
            </w:r>
            <w:r w:rsidR="008329C9">
              <w:rPr>
                <w:webHidden/>
              </w:rPr>
            </w:r>
            <w:r w:rsidR="008329C9">
              <w:rPr>
                <w:webHidden/>
              </w:rPr>
              <w:fldChar w:fldCharType="separate"/>
            </w:r>
            <w:r w:rsidR="008329C9">
              <w:rPr>
                <w:webHidden/>
              </w:rPr>
              <w:t>10</w:t>
            </w:r>
            <w:r w:rsidR="008329C9">
              <w:rPr>
                <w:webHidden/>
              </w:rPr>
              <w:fldChar w:fldCharType="end"/>
            </w:r>
          </w:hyperlink>
        </w:p>
        <w:p w14:paraId="5DF80E47" w14:textId="6597CACB" w:rsidR="008329C9" w:rsidRDefault="00414014">
          <w:pPr>
            <w:pStyle w:val="TOC2"/>
            <w:rPr>
              <w:rFonts w:asciiTheme="minorHAnsi" w:eastAsiaTheme="minorEastAsia" w:hAnsiTheme="minorHAnsi" w:cstheme="minorBidi"/>
              <w:color w:val="auto"/>
              <w:sz w:val="24"/>
              <w:szCs w:val="24"/>
              <w:lang w:val="en-AU" w:eastAsia="en-GB"/>
            </w:rPr>
          </w:pPr>
          <w:hyperlink w:anchor="_Toc117667189" w:history="1">
            <w:r w:rsidR="008329C9" w:rsidRPr="007C6896">
              <w:rPr>
                <w:rStyle w:val="Hyperlink"/>
              </w:rPr>
              <w:t>Companies to declare their subsidiaries</w:t>
            </w:r>
            <w:r w:rsidR="008329C9">
              <w:rPr>
                <w:webHidden/>
              </w:rPr>
              <w:tab/>
            </w:r>
            <w:r w:rsidR="008329C9">
              <w:rPr>
                <w:webHidden/>
              </w:rPr>
              <w:fldChar w:fldCharType="begin"/>
            </w:r>
            <w:r w:rsidR="008329C9">
              <w:rPr>
                <w:webHidden/>
              </w:rPr>
              <w:instrText xml:space="preserve"> PAGEREF _Toc117667189 \h </w:instrText>
            </w:r>
            <w:r w:rsidR="008329C9">
              <w:rPr>
                <w:webHidden/>
              </w:rPr>
            </w:r>
            <w:r w:rsidR="008329C9">
              <w:rPr>
                <w:webHidden/>
              </w:rPr>
              <w:fldChar w:fldCharType="separate"/>
            </w:r>
            <w:r w:rsidR="008329C9">
              <w:rPr>
                <w:webHidden/>
              </w:rPr>
              <w:t>11</w:t>
            </w:r>
            <w:r w:rsidR="008329C9">
              <w:rPr>
                <w:webHidden/>
              </w:rPr>
              <w:fldChar w:fldCharType="end"/>
            </w:r>
          </w:hyperlink>
        </w:p>
        <w:p w14:paraId="104897D5" w14:textId="5B09FAD0" w:rsidR="008329C9" w:rsidRDefault="00414014">
          <w:pPr>
            <w:pStyle w:val="TOC2"/>
            <w:rPr>
              <w:rFonts w:asciiTheme="minorHAnsi" w:eastAsiaTheme="minorEastAsia" w:hAnsiTheme="minorHAnsi" w:cstheme="minorBidi"/>
              <w:color w:val="auto"/>
              <w:sz w:val="24"/>
              <w:szCs w:val="24"/>
              <w:lang w:val="en-AU" w:eastAsia="en-GB"/>
            </w:rPr>
          </w:pPr>
          <w:hyperlink w:anchor="_Toc117667190" w:history="1">
            <w:r w:rsidR="008329C9" w:rsidRPr="007C6896">
              <w:rPr>
                <w:rStyle w:val="Hyperlink"/>
              </w:rPr>
              <w:t>Global entities denied deductions for intangibles</w:t>
            </w:r>
            <w:r w:rsidR="008329C9">
              <w:rPr>
                <w:webHidden/>
              </w:rPr>
              <w:tab/>
            </w:r>
            <w:r w:rsidR="008329C9">
              <w:rPr>
                <w:webHidden/>
              </w:rPr>
              <w:fldChar w:fldCharType="begin"/>
            </w:r>
            <w:r w:rsidR="008329C9">
              <w:rPr>
                <w:webHidden/>
              </w:rPr>
              <w:instrText xml:space="preserve"> PAGEREF _Toc117667190 \h </w:instrText>
            </w:r>
            <w:r w:rsidR="008329C9">
              <w:rPr>
                <w:webHidden/>
              </w:rPr>
            </w:r>
            <w:r w:rsidR="008329C9">
              <w:rPr>
                <w:webHidden/>
              </w:rPr>
              <w:fldChar w:fldCharType="separate"/>
            </w:r>
            <w:r w:rsidR="008329C9">
              <w:rPr>
                <w:webHidden/>
              </w:rPr>
              <w:t>11</w:t>
            </w:r>
            <w:r w:rsidR="008329C9">
              <w:rPr>
                <w:webHidden/>
              </w:rPr>
              <w:fldChar w:fldCharType="end"/>
            </w:r>
          </w:hyperlink>
        </w:p>
        <w:p w14:paraId="4BF57848" w14:textId="6BF47F9A" w:rsidR="008329C9" w:rsidRDefault="00414014">
          <w:pPr>
            <w:pStyle w:val="TOC1"/>
            <w:rPr>
              <w:rFonts w:eastAsiaTheme="minorEastAsia" w:cstheme="minorBidi"/>
              <w:b w:val="0"/>
              <w:color w:val="auto"/>
              <w:sz w:val="24"/>
              <w:szCs w:val="24"/>
              <w:lang w:val="en-AU" w:eastAsia="en-GB"/>
            </w:rPr>
          </w:pPr>
          <w:hyperlink w:anchor="_Toc117667191" w:history="1">
            <w:r w:rsidR="008329C9" w:rsidRPr="007C6896">
              <w:rPr>
                <w:rStyle w:val="Hyperlink"/>
              </w:rPr>
              <w:t>Government &amp; regulators</w:t>
            </w:r>
            <w:r w:rsidR="008329C9">
              <w:rPr>
                <w:webHidden/>
              </w:rPr>
              <w:tab/>
            </w:r>
            <w:r w:rsidR="008329C9">
              <w:rPr>
                <w:webHidden/>
              </w:rPr>
              <w:fldChar w:fldCharType="begin"/>
            </w:r>
            <w:r w:rsidR="008329C9">
              <w:rPr>
                <w:webHidden/>
              </w:rPr>
              <w:instrText xml:space="preserve"> PAGEREF _Toc117667191 \h </w:instrText>
            </w:r>
            <w:r w:rsidR="008329C9">
              <w:rPr>
                <w:webHidden/>
              </w:rPr>
            </w:r>
            <w:r w:rsidR="008329C9">
              <w:rPr>
                <w:webHidden/>
              </w:rPr>
              <w:fldChar w:fldCharType="separate"/>
            </w:r>
            <w:r w:rsidR="008329C9">
              <w:rPr>
                <w:webHidden/>
              </w:rPr>
              <w:t>12</w:t>
            </w:r>
            <w:r w:rsidR="008329C9">
              <w:rPr>
                <w:webHidden/>
              </w:rPr>
              <w:fldChar w:fldCharType="end"/>
            </w:r>
          </w:hyperlink>
        </w:p>
        <w:p w14:paraId="23143AF3" w14:textId="275BDB0E" w:rsidR="008329C9" w:rsidRDefault="00414014">
          <w:pPr>
            <w:pStyle w:val="TOC2"/>
            <w:rPr>
              <w:rFonts w:asciiTheme="minorHAnsi" w:eastAsiaTheme="minorEastAsia" w:hAnsiTheme="minorHAnsi" w:cstheme="minorBidi"/>
              <w:color w:val="auto"/>
              <w:sz w:val="24"/>
              <w:szCs w:val="24"/>
              <w:lang w:val="en-AU" w:eastAsia="en-GB"/>
            </w:rPr>
          </w:pPr>
          <w:hyperlink w:anchor="_Toc117667192" w:history="1">
            <w:r w:rsidR="008329C9" w:rsidRPr="007C6896">
              <w:rPr>
                <w:rStyle w:val="Hyperlink"/>
              </w:rPr>
              <w:t>ATO targets in sharp focus</w:t>
            </w:r>
            <w:r w:rsidR="008329C9">
              <w:rPr>
                <w:webHidden/>
              </w:rPr>
              <w:tab/>
            </w:r>
            <w:r w:rsidR="008329C9">
              <w:rPr>
                <w:webHidden/>
              </w:rPr>
              <w:fldChar w:fldCharType="begin"/>
            </w:r>
            <w:r w:rsidR="008329C9">
              <w:rPr>
                <w:webHidden/>
              </w:rPr>
              <w:instrText xml:space="preserve"> PAGEREF _Toc117667192 \h </w:instrText>
            </w:r>
            <w:r w:rsidR="008329C9">
              <w:rPr>
                <w:webHidden/>
              </w:rPr>
            </w:r>
            <w:r w:rsidR="008329C9">
              <w:rPr>
                <w:webHidden/>
              </w:rPr>
              <w:fldChar w:fldCharType="separate"/>
            </w:r>
            <w:r w:rsidR="008329C9">
              <w:rPr>
                <w:webHidden/>
              </w:rPr>
              <w:t>12</w:t>
            </w:r>
            <w:r w:rsidR="008329C9">
              <w:rPr>
                <w:webHidden/>
              </w:rPr>
              <w:fldChar w:fldCharType="end"/>
            </w:r>
          </w:hyperlink>
        </w:p>
        <w:p w14:paraId="5A26391E" w14:textId="4925D2A4" w:rsidR="008329C9" w:rsidRDefault="00414014">
          <w:pPr>
            <w:pStyle w:val="TOC2"/>
            <w:rPr>
              <w:rFonts w:asciiTheme="minorHAnsi" w:eastAsiaTheme="minorEastAsia" w:hAnsiTheme="minorHAnsi" w:cstheme="minorBidi"/>
              <w:color w:val="auto"/>
              <w:sz w:val="24"/>
              <w:szCs w:val="24"/>
              <w:lang w:val="en-AU" w:eastAsia="en-GB"/>
            </w:rPr>
          </w:pPr>
          <w:hyperlink w:anchor="_Toc117667193" w:history="1">
            <w:r w:rsidR="008329C9" w:rsidRPr="007C6896">
              <w:rPr>
                <w:rStyle w:val="Hyperlink"/>
              </w:rPr>
              <w:t>$3.6bn cut from external labour, advertising, travel and legal expenses</w:t>
            </w:r>
            <w:r w:rsidR="008329C9">
              <w:rPr>
                <w:webHidden/>
              </w:rPr>
              <w:tab/>
            </w:r>
            <w:r w:rsidR="008329C9">
              <w:rPr>
                <w:webHidden/>
              </w:rPr>
              <w:fldChar w:fldCharType="begin"/>
            </w:r>
            <w:r w:rsidR="008329C9">
              <w:rPr>
                <w:webHidden/>
              </w:rPr>
              <w:instrText xml:space="preserve"> PAGEREF _Toc117667193 \h </w:instrText>
            </w:r>
            <w:r w:rsidR="008329C9">
              <w:rPr>
                <w:webHidden/>
              </w:rPr>
            </w:r>
            <w:r w:rsidR="008329C9">
              <w:rPr>
                <w:webHidden/>
              </w:rPr>
              <w:fldChar w:fldCharType="separate"/>
            </w:r>
            <w:r w:rsidR="008329C9">
              <w:rPr>
                <w:webHidden/>
              </w:rPr>
              <w:t>12</w:t>
            </w:r>
            <w:r w:rsidR="008329C9">
              <w:rPr>
                <w:webHidden/>
              </w:rPr>
              <w:fldChar w:fldCharType="end"/>
            </w:r>
          </w:hyperlink>
        </w:p>
        <w:p w14:paraId="076A20A0" w14:textId="17537286" w:rsidR="008329C9" w:rsidRDefault="00414014">
          <w:pPr>
            <w:pStyle w:val="TOC1"/>
            <w:rPr>
              <w:rFonts w:eastAsiaTheme="minorEastAsia" w:cstheme="minorBidi"/>
              <w:b w:val="0"/>
              <w:color w:val="auto"/>
              <w:sz w:val="24"/>
              <w:szCs w:val="24"/>
              <w:lang w:val="en-AU" w:eastAsia="en-GB"/>
            </w:rPr>
          </w:pPr>
          <w:hyperlink w:anchor="_Toc117667194" w:history="1">
            <w:r w:rsidR="008329C9" w:rsidRPr="007C6896">
              <w:rPr>
                <w:rStyle w:val="Hyperlink"/>
              </w:rPr>
              <w:t>Other</w:t>
            </w:r>
            <w:r w:rsidR="008329C9">
              <w:rPr>
                <w:webHidden/>
              </w:rPr>
              <w:tab/>
            </w:r>
            <w:r w:rsidR="008329C9">
              <w:rPr>
                <w:webHidden/>
              </w:rPr>
              <w:fldChar w:fldCharType="begin"/>
            </w:r>
            <w:r w:rsidR="008329C9">
              <w:rPr>
                <w:webHidden/>
              </w:rPr>
              <w:instrText xml:space="preserve"> PAGEREF _Toc117667194 \h </w:instrText>
            </w:r>
            <w:r w:rsidR="008329C9">
              <w:rPr>
                <w:webHidden/>
              </w:rPr>
            </w:r>
            <w:r w:rsidR="008329C9">
              <w:rPr>
                <w:webHidden/>
              </w:rPr>
              <w:fldChar w:fldCharType="separate"/>
            </w:r>
            <w:r w:rsidR="008329C9">
              <w:rPr>
                <w:webHidden/>
              </w:rPr>
              <w:t>12</w:t>
            </w:r>
            <w:r w:rsidR="008329C9">
              <w:rPr>
                <w:webHidden/>
              </w:rPr>
              <w:fldChar w:fldCharType="end"/>
            </w:r>
          </w:hyperlink>
        </w:p>
        <w:p w14:paraId="0D723CBF" w14:textId="6758D7AE" w:rsidR="008329C9" w:rsidRDefault="00414014">
          <w:pPr>
            <w:pStyle w:val="TOC2"/>
            <w:rPr>
              <w:rFonts w:asciiTheme="minorHAnsi" w:eastAsiaTheme="minorEastAsia" w:hAnsiTheme="minorHAnsi" w:cstheme="minorBidi"/>
              <w:color w:val="auto"/>
              <w:sz w:val="24"/>
              <w:szCs w:val="24"/>
              <w:lang w:val="en-AU" w:eastAsia="en-GB"/>
            </w:rPr>
          </w:pPr>
          <w:hyperlink w:anchor="_Toc117667195" w:history="1">
            <w:r w:rsidR="008329C9" w:rsidRPr="007C6896">
              <w:rPr>
                <w:rStyle w:val="Hyperlink"/>
              </w:rPr>
              <w:t>Working with our Pacific Neighbours</w:t>
            </w:r>
            <w:r w:rsidR="008329C9">
              <w:rPr>
                <w:webHidden/>
              </w:rPr>
              <w:tab/>
            </w:r>
            <w:r w:rsidR="008329C9">
              <w:rPr>
                <w:webHidden/>
              </w:rPr>
              <w:fldChar w:fldCharType="begin"/>
            </w:r>
            <w:r w:rsidR="008329C9">
              <w:rPr>
                <w:webHidden/>
              </w:rPr>
              <w:instrText xml:space="preserve"> PAGEREF _Toc117667195 \h </w:instrText>
            </w:r>
            <w:r w:rsidR="008329C9">
              <w:rPr>
                <w:webHidden/>
              </w:rPr>
            </w:r>
            <w:r w:rsidR="008329C9">
              <w:rPr>
                <w:webHidden/>
              </w:rPr>
              <w:fldChar w:fldCharType="separate"/>
            </w:r>
            <w:r w:rsidR="008329C9">
              <w:rPr>
                <w:webHidden/>
              </w:rPr>
              <w:t>12</w:t>
            </w:r>
            <w:r w:rsidR="008329C9">
              <w:rPr>
                <w:webHidden/>
              </w:rPr>
              <w:fldChar w:fldCharType="end"/>
            </w:r>
          </w:hyperlink>
        </w:p>
        <w:p w14:paraId="72911BB6" w14:textId="1CCD01DF" w:rsidR="008329C9" w:rsidRDefault="00414014">
          <w:pPr>
            <w:pStyle w:val="TOC2"/>
            <w:rPr>
              <w:rFonts w:asciiTheme="minorHAnsi" w:eastAsiaTheme="minorEastAsia" w:hAnsiTheme="minorHAnsi" w:cstheme="minorBidi"/>
              <w:color w:val="auto"/>
              <w:sz w:val="24"/>
              <w:szCs w:val="24"/>
              <w:lang w:val="en-AU" w:eastAsia="en-GB"/>
            </w:rPr>
          </w:pPr>
          <w:hyperlink w:anchor="_Toc117667196" w:history="1">
            <w:r w:rsidR="008329C9" w:rsidRPr="007C6896">
              <w:rPr>
                <w:rStyle w:val="Hyperlink"/>
              </w:rPr>
              <w:t>Electric vehicle and hydrogen refuelling</w:t>
            </w:r>
            <w:r w:rsidR="008329C9">
              <w:rPr>
                <w:webHidden/>
              </w:rPr>
              <w:tab/>
            </w:r>
            <w:r w:rsidR="008329C9">
              <w:rPr>
                <w:webHidden/>
              </w:rPr>
              <w:fldChar w:fldCharType="begin"/>
            </w:r>
            <w:r w:rsidR="008329C9">
              <w:rPr>
                <w:webHidden/>
              </w:rPr>
              <w:instrText xml:space="preserve"> PAGEREF _Toc117667196 \h </w:instrText>
            </w:r>
            <w:r w:rsidR="008329C9">
              <w:rPr>
                <w:webHidden/>
              </w:rPr>
            </w:r>
            <w:r w:rsidR="008329C9">
              <w:rPr>
                <w:webHidden/>
              </w:rPr>
              <w:fldChar w:fldCharType="separate"/>
            </w:r>
            <w:r w:rsidR="008329C9">
              <w:rPr>
                <w:webHidden/>
              </w:rPr>
              <w:t>13</w:t>
            </w:r>
            <w:r w:rsidR="008329C9">
              <w:rPr>
                <w:webHidden/>
              </w:rPr>
              <w:fldChar w:fldCharType="end"/>
            </w:r>
          </w:hyperlink>
        </w:p>
        <w:p w14:paraId="43E11B64" w14:textId="5E7121F5" w:rsidR="008329C9" w:rsidRDefault="00414014">
          <w:pPr>
            <w:pStyle w:val="TOC2"/>
            <w:rPr>
              <w:rFonts w:asciiTheme="minorHAnsi" w:eastAsiaTheme="minorEastAsia" w:hAnsiTheme="minorHAnsi" w:cstheme="minorBidi"/>
              <w:color w:val="auto"/>
              <w:sz w:val="24"/>
              <w:szCs w:val="24"/>
              <w:lang w:val="en-AU" w:eastAsia="en-GB"/>
            </w:rPr>
          </w:pPr>
          <w:hyperlink w:anchor="_Toc117667197" w:history="1">
            <w:r w:rsidR="008329C9" w:rsidRPr="007C6896">
              <w:rPr>
                <w:rStyle w:val="Hyperlink"/>
              </w:rPr>
              <w:t>Broadband &amp; mobile improvements for regional Australia</w:t>
            </w:r>
            <w:r w:rsidR="008329C9">
              <w:rPr>
                <w:webHidden/>
              </w:rPr>
              <w:tab/>
            </w:r>
            <w:r w:rsidR="008329C9">
              <w:rPr>
                <w:webHidden/>
              </w:rPr>
              <w:fldChar w:fldCharType="begin"/>
            </w:r>
            <w:r w:rsidR="008329C9">
              <w:rPr>
                <w:webHidden/>
              </w:rPr>
              <w:instrText xml:space="preserve"> PAGEREF _Toc117667197 \h </w:instrText>
            </w:r>
            <w:r w:rsidR="008329C9">
              <w:rPr>
                <w:webHidden/>
              </w:rPr>
            </w:r>
            <w:r w:rsidR="008329C9">
              <w:rPr>
                <w:webHidden/>
              </w:rPr>
              <w:fldChar w:fldCharType="separate"/>
            </w:r>
            <w:r w:rsidR="008329C9">
              <w:rPr>
                <w:webHidden/>
              </w:rPr>
              <w:t>13</w:t>
            </w:r>
            <w:r w:rsidR="008329C9">
              <w:rPr>
                <w:webHidden/>
              </w:rPr>
              <w:fldChar w:fldCharType="end"/>
            </w:r>
          </w:hyperlink>
        </w:p>
        <w:p w14:paraId="2DE491FD" w14:textId="732ABB7F" w:rsidR="008329C9" w:rsidRDefault="00414014">
          <w:pPr>
            <w:pStyle w:val="TOC2"/>
            <w:rPr>
              <w:rFonts w:asciiTheme="minorHAnsi" w:eastAsiaTheme="minorEastAsia" w:hAnsiTheme="minorHAnsi" w:cstheme="minorBidi"/>
              <w:color w:val="auto"/>
              <w:sz w:val="24"/>
              <w:szCs w:val="24"/>
              <w:lang w:val="en-AU" w:eastAsia="en-GB"/>
            </w:rPr>
          </w:pPr>
          <w:hyperlink w:anchor="_Toc117667198" w:history="1">
            <w:r w:rsidR="008329C9" w:rsidRPr="007C6896">
              <w:rPr>
                <w:rStyle w:val="Hyperlink"/>
              </w:rPr>
              <w:t>Foreign investment review board fees increase</w:t>
            </w:r>
            <w:r w:rsidR="008329C9">
              <w:rPr>
                <w:webHidden/>
              </w:rPr>
              <w:tab/>
            </w:r>
            <w:r w:rsidR="008329C9">
              <w:rPr>
                <w:webHidden/>
              </w:rPr>
              <w:fldChar w:fldCharType="begin"/>
            </w:r>
            <w:r w:rsidR="008329C9">
              <w:rPr>
                <w:webHidden/>
              </w:rPr>
              <w:instrText xml:space="preserve"> PAGEREF _Toc117667198 \h </w:instrText>
            </w:r>
            <w:r w:rsidR="008329C9">
              <w:rPr>
                <w:webHidden/>
              </w:rPr>
            </w:r>
            <w:r w:rsidR="008329C9">
              <w:rPr>
                <w:webHidden/>
              </w:rPr>
              <w:fldChar w:fldCharType="separate"/>
            </w:r>
            <w:r w:rsidR="008329C9">
              <w:rPr>
                <w:webHidden/>
              </w:rPr>
              <w:t>13</w:t>
            </w:r>
            <w:r w:rsidR="008329C9">
              <w:rPr>
                <w:webHidden/>
              </w:rPr>
              <w:fldChar w:fldCharType="end"/>
            </w:r>
          </w:hyperlink>
        </w:p>
        <w:p w14:paraId="34C15567" w14:textId="7EFD5C15" w:rsidR="008329C9" w:rsidRDefault="00414014">
          <w:pPr>
            <w:pStyle w:val="TOC2"/>
            <w:rPr>
              <w:rFonts w:asciiTheme="minorHAnsi" w:eastAsiaTheme="minorEastAsia" w:hAnsiTheme="minorHAnsi" w:cstheme="minorBidi"/>
              <w:color w:val="auto"/>
              <w:sz w:val="24"/>
              <w:szCs w:val="24"/>
              <w:lang w:val="en-AU" w:eastAsia="en-GB"/>
            </w:rPr>
          </w:pPr>
          <w:hyperlink w:anchor="_Toc117667199" w:history="1">
            <w:r w:rsidR="008329C9" w:rsidRPr="007C6896">
              <w:rPr>
                <w:rStyle w:val="Hyperlink"/>
              </w:rPr>
              <w:t>Community sector organisations funding boost</w:t>
            </w:r>
            <w:r w:rsidR="008329C9">
              <w:rPr>
                <w:webHidden/>
              </w:rPr>
              <w:tab/>
            </w:r>
            <w:r w:rsidR="008329C9">
              <w:rPr>
                <w:webHidden/>
              </w:rPr>
              <w:fldChar w:fldCharType="begin"/>
            </w:r>
            <w:r w:rsidR="008329C9">
              <w:rPr>
                <w:webHidden/>
              </w:rPr>
              <w:instrText xml:space="preserve"> PAGEREF _Toc117667199 \h </w:instrText>
            </w:r>
            <w:r w:rsidR="008329C9">
              <w:rPr>
                <w:webHidden/>
              </w:rPr>
            </w:r>
            <w:r w:rsidR="008329C9">
              <w:rPr>
                <w:webHidden/>
              </w:rPr>
              <w:fldChar w:fldCharType="separate"/>
            </w:r>
            <w:r w:rsidR="008329C9">
              <w:rPr>
                <w:webHidden/>
              </w:rPr>
              <w:t>13</w:t>
            </w:r>
            <w:r w:rsidR="008329C9">
              <w:rPr>
                <w:webHidden/>
              </w:rPr>
              <w:fldChar w:fldCharType="end"/>
            </w:r>
          </w:hyperlink>
        </w:p>
        <w:p w14:paraId="77F6169F" w14:textId="346B84F2" w:rsidR="008329C9" w:rsidRDefault="00414014">
          <w:pPr>
            <w:pStyle w:val="TOC2"/>
            <w:rPr>
              <w:rFonts w:asciiTheme="minorHAnsi" w:eastAsiaTheme="minorEastAsia" w:hAnsiTheme="minorHAnsi" w:cstheme="minorBidi"/>
              <w:color w:val="auto"/>
              <w:sz w:val="24"/>
              <w:szCs w:val="24"/>
              <w:lang w:val="en-AU" w:eastAsia="en-GB"/>
            </w:rPr>
          </w:pPr>
          <w:hyperlink w:anchor="_Toc117667200" w:history="1">
            <w:r w:rsidR="008329C9" w:rsidRPr="007C6896">
              <w:rPr>
                <w:rStyle w:val="Hyperlink"/>
              </w:rPr>
              <w:t>Extension of Tariffs on Russian goods</w:t>
            </w:r>
            <w:r w:rsidR="008329C9">
              <w:rPr>
                <w:webHidden/>
              </w:rPr>
              <w:tab/>
            </w:r>
            <w:r w:rsidR="008329C9">
              <w:rPr>
                <w:webHidden/>
              </w:rPr>
              <w:fldChar w:fldCharType="begin"/>
            </w:r>
            <w:r w:rsidR="008329C9">
              <w:rPr>
                <w:webHidden/>
              </w:rPr>
              <w:instrText xml:space="preserve"> PAGEREF _Toc117667200 \h </w:instrText>
            </w:r>
            <w:r w:rsidR="008329C9">
              <w:rPr>
                <w:webHidden/>
              </w:rPr>
            </w:r>
            <w:r w:rsidR="008329C9">
              <w:rPr>
                <w:webHidden/>
              </w:rPr>
              <w:fldChar w:fldCharType="separate"/>
            </w:r>
            <w:r w:rsidR="008329C9">
              <w:rPr>
                <w:webHidden/>
              </w:rPr>
              <w:t>13</w:t>
            </w:r>
            <w:r w:rsidR="008329C9">
              <w:rPr>
                <w:webHidden/>
              </w:rPr>
              <w:fldChar w:fldCharType="end"/>
            </w:r>
          </w:hyperlink>
        </w:p>
        <w:p w14:paraId="36CED988" w14:textId="143FA423" w:rsidR="008329C9" w:rsidRDefault="00414014">
          <w:pPr>
            <w:pStyle w:val="TOC2"/>
            <w:rPr>
              <w:rFonts w:asciiTheme="minorHAnsi" w:eastAsiaTheme="minorEastAsia" w:hAnsiTheme="minorHAnsi" w:cstheme="minorBidi"/>
              <w:color w:val="auto"/>
              <w:sz w:val="24"/>
              <w:szCs w:val="24"/>
              <w:lang w:val="en-AU" w:eastAsia="en-GB"/>
            </w:rPr>
          </w:pPr>
          <w:hyperlink w:anchor="_Toc117667201" w:history="1">
            <w:r w:rsidR="008329C9" w:rsidRPr="007C6896">
              <w:rPr>
                <w:rStyle w:val="Hyperlink"/>
              </w:rPr>
              <w:t>Infrastructure projects</w:t>
            </w:r>
            <w:r w:rsidR="008329C9">
              <w:rPr>
                <w:webHidden/>
              </w:rPr>
              <w:tab/>
            </w:r>
            <w:r w:rsidR="008329C9">
              <w:rPr>
                <w:webHidden/>
              </w:rPr>
              <w:fldChar w:fldCharType="begin"/>
            </w:r>
            <w:r w:rsidR="008329C9">
              <w:rPr>
                <w:webHidden/>
              </w:rPr>
              <w:instrText xml:space="preserve"> PAGEREF _Toc117667201 \h </w:instrText>
            </w:r>
            <w:r w:rsidR="008329C9">
              <w:rPr>
                <w:webHidden/>
              </w:rPr>
            </w:r>
            <w:r w:rsidR="008329C9">
              <w:rPr>
                <w:webHidden/>
              </w:rPr>
              <w:fldChar w:fldCharType="separate"/>
            </w:r>
            <w:r w:rsidR="008329C9">
              <w:rPr>
                <w:webHidden/>
              </w:rPr>
              <w:t>14</w:t>
            </w:r>
            <w:r w:rsidR="008329C9">
              <w:rPr>
                <w:webHidden/>
              </w:rPr>
              <w:fldChar w:fldCharType="end"/>
            </w:r>
          </w:hyperlink>
        </w:p>
        <w:p w14:paraId="387C1557" w14:textId="351352E4" w:rsidR="008329C9" w:rsidRDefault="00414014">
          <w:pPr>
            <w:pStyle w:val="TOC1"/>
            <w:rPr>
              <w:rFonts w:eastAsiaTheme="minorEastAsia" w:cstheme="minorBidi"/>
              <w:b w:val="0"/>
              <w:color w:val="auto"/>
              <w:sz w:val="24"/>
              <w:szCs w:val="24"/>
              <w:lang w:val="en-AU" w:eastAsia="en-GB"/>
            </w:rPr>
          </w:pPr>
          <w:hyperlink w:anchor="_Toc117667202" w:history="1">
            <w:r w:rsidR="008329C9" w:rsidRPr="007C6896">
              <w:rPr>
                <w:rStyle w:val="Hyperlink"/>
              </w:rPr>
              <w:t>The economy</w:t>
            </w:r>
            <w:r w:rsidR="008329C9">
              <w:rPr>
                <w:webHidden/>
              </w:rPr>
              <w:tab/>
            </w:r>
            <w:r w:rsidR="008329C9">
              <w:rPr>
                <w:webHidden/>
              </w:rPr>
              <w:fldChar w:fldCharType="begin"/>
            </w:r>
            <w:r w:rsidR="008329C9">
              <w:rPr>
                <w:webHidden/>
              </w:rPr>
              <w:instrText xml:space="preserve"> PAGEREF _Toc117667202 \h </w:instrText>
            </w:r>
            <w:r w:rsidR="008329C9">
              <w:rPr>
                <w:webHidden/>
              </w:rPr>
            </w:r>
            <w:r w:rsidR="008329C9">
              <w:rPr>
                <w:webHidden/>
              </w:rPr>
              <w:fldChar w:fldCharType="separate"/>
            </w:r>
            <w:r w:rsidR="008329C9">
              <w:rPr>
                <w:webHidden/>
              </w:rPr>
              <w:t>14</w:t>
            </w:r>
            <w:r w:rsidR="008329C9">
              <w:rPr>
                <w:webHidden/>
              </w:rPr>
              <w:fldChar w:fldCharType="end"/>
            </w:r>
          </w:hyperlink>
        </w:p>
        <w:p w14:paraId="49E52415" w14:textId="0B4B89C5" w:rsidR="00573DFF" w:rsidRPr="00FF0647" w:rsidRDefault="0023345F" w:rsidP="00573DFF">
          <w:pPr>
            <w:rPr>
              <w:lang w:val="en-GB"/>
            </w:rPr>
          </w:pPr>
          <w:r w:rsidRPr="00FF0647">
            <w:rPr>
              <w:rFonts w:cstheme="minorHAnsi"/>
              <w:sz w:val="20"/>
              <w:szCs w:val="20"/>
              <w:lang w:val="en-GB"/>
            </w:rPr>
            <w:fldChar w:fldCharType="end"/>
          </w:r>
        </w:p>
      </w:sdtContent>
    </w:sdt>
    <w:p w14:paraId="76A62034" w14:textId="77777777" w:rsidR="00CA2D84" w:rsidRPr="00FF0647" w:rsidRDefault="00CA2D84" w:rsidP="00CA2D84">
      <w:pPr>
        <w:spacing w:line="240" w:lineRule="auto"/>
        <w:rPr>
          <w:sz w:val="17"/>
          <w:szCs w:val="17"/>
          <w:lang w:val="en-GB"/>
        </w:rPr>
      </w:pPr>
    </w:p>
    <w:p w14:paraId="1BB50D59" w14:textId="77777777" w:rsidR="00D4095E" w:rsidRDefault="00D4095E" w:rsidP="00CA2D84">
      <w:pPr>
        <w:spacing w:line="240" w:lineRule="auto"/>
        <w:rPr>
          <w:sz w:val="17"/>
          <w:szCs w:val="17"/>
          <w:lang w:val="en-GB"/>
        </w:rPr>
      </w:pPr>
    </w:p>
    <w:p w14:paraId="135D68DD" w14:textId="77777777" w:rsidR="00D4095E" w:rsidRDefault="00D4095E" w:rsidP="00CA2D84">
      <w:pPr>
        <w:spacing w:line="240" w:lineRule="auto"/>
        <w:rPr>
          <w:sz w:val="17"/>
          <w:szCs w:val="17"/>
          <w:lang w:val="en-GB"/>
        </w:rPr>
      </w:pPr>
    </w:p>
    <w:p w14:paraId="64EDA17D" w14:textId="77777777" w:rsidR="00D4095E" w:rsidRDefault="00D4095E" w:rsidP="00CA2D84">
      <w:pPr>
        <w:spacing w:line="240" w:lineRule="auto"/>
        <w:rPr>
          <w:sz w:val="17"/>
          <w:szCs w:val="17"/>
          <w:lang w:val="en-GB"/>
        </w:rPr>
      </w:pPr>
    </w:p>
    <w:p w14:paraId="46AC56F1" w14:textId="77777777" w:rsidR="00D4095E" w:rsidRDefault="00D4095E" w:rsidP="00CA2D84">
      <w:pPr>
        <w:spacing w:line="240" w:lineRule="auto"/>
        <w:rPr>
          <w:sz w:val="17"/>
          <w:szCs w:val="17"/>
          <w:lang w:val="en-GB"/>
        </w:rPr>
      </w:pPr>
    </w:p>
    <w:p w14:paraId="68C7040B" w14:textId="77777777" w:rsidR="00D4095E" w:rsidRDefault="00D4095E" w:rsidP="00CA2D84">
      <w:pPr>
        <w:spacing w:line="240" w:lineRule="auto"/>
        <w:rPr>
          <w:sz w:val="17"/>
          <w:szCs w:val="17"/>
          <w:lang w:val="en-GB"/>
        </w:rPr>
      </w:pPr>
    </w:p>
    <w:p w14:paraId="47CEAA45" w14:textId="77777777" w:rsidR="00D4095E" w:rsidRDefault="00D4095E" w:rsidP="00CA2D84">
      <w:pPr>
        <w:spacing w:line="240" w:lineRule="auto"/>
        <w:rPr>
          <w:sz w:val="17"/>
          <w:szCs w:val="17"/>
          <w:lang w:val="en-GB"/>
        </w:rPr>
      </w:pPr>
    </w:p>
    <w:p w14:paraId="352A99A6" w14:textId="77777777" w:rsidR="00D4095E" w:rsidRDefault="00D4095E" w:rsidP="00CA2D84">
      <w:pPr>
        <w:spacing w:line="240" w:lineRule="auto"/>
        <w:rPr>
          <w:sz w:val="17"/>
          <w:szCs w:val="17"/>
          <w:lang w:val="en-GB"/>
        </w:rPr>
      </w:pPr>
    </w:p>
    <w:p w14:paraId="3BFFB1AA" w14:textId="77777777" w:rsidR="00D4095E" w:rsidRDefault="00D4095E" w:rsidP="00CA2D84">
      <w:pPr>
        <w:spacing w:line="240" w:lineRule="auto"/>
        <w:rPr>
          <w:sz w:val="17"/>
          <w:szCs w:val="17"/>
          <w:lang w:val="en-GB"/>
        </w:rPr>
      </w:pPr>
    </w:p>
    <w:p w14:paraId="78CF2083" w14:textId="77777777" w:rsidR="00D4095E" w:rsidRDefault="00D4095E" w:rsidP="00CA2D84">
      <w:pPr>
        <w:spacing w:line="240" w:lineRule="auto"/>
        <w:rPr>
          <w:sz w:val="17"/>
          <w:szCs w:val="17"/>
          <w:lang w:val="en-GB"/>
        </w:rPr>
      </w:pPr>
    </w:p>
    <w:p w14:paraId="08B24BD5" w14:textId="77777777" w:rsidR="00D4095E" w:rsidRDefault="00D4095E" w:rsidP="00CA2D84">
      <w:pPr>
        <w:spacing w:line="240" w:lineRule="auto"/>
        <w:rPr>
          <w:sz w:val="17"/>
          <w:szCs w:val="17"/>
          <w:lang w:val="en-GB"/>
        </w:rPr>
      </w:pPr>
    </w:p>
    <w:p w14:paraId="39183001" w14:textId="77777777" w:rsidR="00D4095E" w:rsidRDefault="00D4095E" w:rsidP="00CA2D84">
      <w:pPr>
        <w:spacing w:line="240" w:lineRule="auto"/>
        <w:rPr>
          <w:sz w:val="17"/>
          <w:szCs w:val="17"/>
          <w:lang w:val="en-GB"/>
        </w:rPr>
      </w:pPr>
    </w:p>
    <w:p w14:paraId="6D2D00D8" w14:textId="77777777" w:rsidR="00D4095E" w:rsidRDefault="00D4095E" w:rsidP="00CA2D84">
      <w:pPr>
        <w:spacing w:line="240" w:lineRule="auto"/>
        <w:rPr>
          <w:sz w:val="17"/>
          <w:szCs w:val="17"/>
          <w:lang w:val="en-GB"/>
        </w:rPr>
      </w:pPr>
    </w:p>
    <w:p w14:paraId="4530D614" w14:textId="77777777" w:rsidR="00D02768" w:rsidRDefault="00D02768" w:rsidP="00CA2D84">
      <w:pPr>
        <w:spacing w:line="240" w:lineRule="auto"/>
        <w:rPr>
          <w:sz w:val="17"/>
          <w:szCs w:val="17"/>
          <w:lang w:val="en-GB"/>
        </w:rPr>
      </w:pPr>
    </w:p>
    <w:p w14:paraId="26BDFF3E" w14:textId="77777777" w:rsidR="00D02768" w:rsidRDefault="00D02768" w:rsidP="00CA2D84">
      <w:pPr>
        <w:spacing w:line="240" w:lineRule="auto"/>
        <w:rPr>
          <w:sz w:val="17"/>
          <w:szCs w:val="17"/>
          <w:lang w:val="en-GB"/>
        </w:rPr>
      </w:pPr>
    </w:p>
    <w:p w14:paraId="1DBB7519" w14:textId="77777777" w:rsidR="00D02768" w:rsidRDefault="00D02768" w:rsidP="00CA2D84">
      <w:pPr>
        <w:spacing w:line="240" w:lineRule="auto"/>
        <w:rPr>
          <w:sz w:val="17"/>
          <w:szCs w:val="17"/>
          <w:lang w:val="en-GB"/>
        </w:rPr>
      </w:pPr>
    </w:p>
    <w:p w14:paraId="19618059" w14:textId="77777777" w:rsidR="00D02768" w:rsidRDefault="00D02768" w:rsidP="00CA2D84">
      <w:pPr>
        <w:spacing w:line="240" w:lineRule="auto"/>
        <w:rPr>
          <w:sz w:val="17"/>
          <w:szCs w:val="17"/>
          <w:lang w:val="en-GB"/>
        </w:rPr>
      </w:pPr>
    </w:p>
    <w:p w14:paraId="32BC3F58" w14:textId="77777777" w:rsidR="00D02768" w:rsidRDefault="00D02768" w:rsidP="00CA2D84">
      <w:pPr>
        <w:spacing w:line="240" w:lineRule="auto"/>
        <w:rPr>
          <w:sz w:val="17"/>
          <w:szCs w:val="17"/>
          <w:lang w:val="en-GB"/>
        </w:rPr>
      </w:pPr>
    </w:p>
    <w:p w14:paraId="773BA3AB" w14:textId="77777777" w:rsidR="00D02768" w:rsidRDefault="00D02768" w:rsidP="00CA2D84">
      <w:pPr>
        <w:spacing w:line="240" w:lineRule="auto"/>
        <w:rPr>
          <w:sz w:val="17"/>
          <w:szCs w:val="17"/>
          <w:lang w:val="en-GB"/>
        </w:rPr>
      </w:pPr>
    </w:p>
    <w:p w14:paraId="44E7D5AD" w14:textId="77777777" w:rsidR="00D02768" w:rsidRDefault="00D02768" w:rsidP="00CA2D84">
      <w:pPr>
        <w:spacing w:line="240" w:lineRule="auto"/>
        <w:rPr>
          <w:sz w:val="17"/>
          <w:szCs w:val="17"/>
          <w:lang w:val="en-GB"/>
        </w:rPr>
      </w:pPr>
    </w:p>
    <w:p w14:paraId="78DEF8B6" w14:textId="77777777" w:rsidR="00D02768" w:rsidRDefault="00D02768" w:rsidP="00CA2D84">
      <w:pPr>
        <w:spacing w:line="240" w:lineRule="auto"/>
        <w:rPr>
          <w:sz w:val="17"/>
          <w:szCs w:val="17"/>
          <w:lang w:val="en-GB"/>
        </w:rPr>
      </w:pPr>
    </w:p>
    <w:p w14:paraId="175A5079" w14:textId="77777777" w:rsidR="00D02768" w:rsidRDefault="00D02768" w:rsidP="00CA2D84">
      <w:pPr>
        <w:spacing w:line="240" w:lineRule="auto"/>
        <w:rPr>
          <w:sz w:val="17"/>
          <w:szCs w:val="17"/>
          <w:lang w:val="en-GB"/>
        </w:rPr>
      </w:pPr>
    </w:p>
    <w:p w14:paraId="5373113F" w14:textId="77777777" w:rsidR="00D02768" w:rsidRDefault="00D02768" w:rsidP="00CA2D84">
      <w:pPr>
        <w:spacing w:line="240" w:lineRule="auto"/>
        <w:rPr>
          <w:sz w:val="17"/>
          <w:szCs w:val="17"/>
          <w:lang w:val="en-GB"/>
        </w:rPr>
      </w:pPr>
    </w:p>
    <w:p w14:paraId="63368B99" w14:textId="77777777" w:rsidR="00D02768" w:rsidRDefault="00D02768" w:rsidP="00CA2D84">
      <w:pPr>
        <w:spacing w:line="240" w:lineRule="auto"/>
        <w:rPr>
          <w:sz w:val="17"/>
          <w:szCs w:val="17"/>
          <w:lang w:val="en-GB"/>
        </w:rPr>
      </w:pPr>
    </w:p>
    <w:p w14:paraId="1C2735C4" w14:textId="77777777" w:rsidR="00D02768" w:rsidRDefault="00D02768" w:rsidP="00CA2D84">
      <w:pPr>
        <w:spacing w:line="240" w:lineRule="auto"/>
        <w:rPr>
          <w:sz w:val="17"/>
          <w:szCs w:val="17"/>
          <w:lang w:val="en-GB"/>
        </w:rPr>
      </w:pPr>
    </w:p>
    <w:p w14:paraId="64FA8589" w14:textId="77777777" w:rsidR="00D02768" w:rsidRDefault="00D02768" w:rsidP="00CA2D84">
      <w:pPr>
        <w:spacing w:line="240" w:lineRule="auto"/>
        <w:rPr>
          <w:sz w:val="17"/>
          <w:szCs w:val="17"/>
          <w:lang w:val="en-GB"/>
        </w:rPr>
      </w:pPr>
    </w:p>
    <w:p w14:paraId="72E4D05A" w14:textId="77777777" w:rsidR="00D02768" w:rsidRDefault="00D02768" w:rsidP="00CA2D84">
      <w:pPr>
        <w:spacing w:line="240" w:lineRule="auto"/>
        <w:rPr>
          <w:sz w:val="17"/>
          <w:szCs w:val="17"/>
          <w:lang w:val="en-GB"/>
        </w:rPr>
      </w:pPr>
    </w:p>
    <w:p w14:paraId="36598591" w14:textId="77777777" w:rsidR="00D02768" w:rsidRDefault="00D02768" w:rsidP="00CA2D84">
      <w:pPr>
        <w:spacing w:line="240" w:lineRule="auto"/>
        <w:rPr>
          <w:sz w:val="17"/>
          <w:szCs w:val="17"/>
          <w:lang w:val="en-GB"/>
        </w:rPr>
      </w:pPr>
    </w:p>
    <w:p w14:paraId="5F79C0C3" w14:textId="77777777" w:rsidR="00D02768" w:rsidRDefault="00D02768" w:rsidP="00CA2D84">
      <w:pPr>
        <w:spacing w:line="240" w:lineRule="auto"/>
        <w:rPr>
          <w:sz w:val="17"/>
          <w:szCs w:val="17"/>
          <w:lang w:val="en-GB"/>
        </w:rPr>
      </w:pPr>
    </w:p>
    <w:p w14:paraId="1C2B1B24" w14:textId="77777777" w:rsidR="00D02768" w:rsidRDefault="00D02768" w:rsidP="00CA2D84">
      <w:pPr>
        <w:spacing w:line="240" w:lineRule="auto"/>
        <w:rPr>
          <w:sz w:val="17"/>
          <w:szCs w:val="17"/>
          <w:lang w:val="en-GB"/>
        </w:rPr>
      </w:pPr>
    </w:p>
    <w:p w14:paraId="440C027B" w14:textId="77777777" w:rsidR="00D02768" w:rsidRDefault="00D02768" w:rsidP="00CA2D84">
      <w:pPr>
        <w:spacing w:line="240" w:lineRule="auto"/>
        <w:rPr>
          <w:sz w:val="17"/>
          <w:szCs w:val="17"/>
          <w:lang w:val="en-GB"/>
        </w:rPr>
      </w:pPr>
    </w:p>
    <w:p w14:paraId="6E622F4B" w14:textId="77777777" w:rsidR="00D02768" w:rsidRDefault="00D02768" w:rsidP="00CA2D84">
      <w:pPr>
        <w:spacing w:line="240" w:lineRule="auto"/>
        <w:rPr>
          <w:sz w:val="17"/>
          <w:szCs w:val="17"/>
          <w:lang w:val="en-GB"/>
        </w:rPr>
      </w:pPr>
    </w:p>
    <w:p w14:paraId="1AB46DAD" w14:textId="77777777" w:rsidR="00D02768" w:rsidRDefault="00D02768" w:rsidP="00CA2D84">
      <w:pPr>
        <w:spacing w:line="240" w:lineRule="auto"/>
        <w:rPr>
          <w:sz w:val="17"/>
          <w:szCs w:val="17"/>
          <w:lang w:val="en-GB"/>
        </w:rPr>
      </w:pPr>
    </w:p>
    <w:p w14:paraId="059688EB" w14:textId="77777777" w:rsidR="00D02768" w:rsidRDefault="00D02768" w:rsidP="00CA2D84">
      <w:pPr>
        <w:spacing w:line="240" w:lineRule="auto"/>
        <w:rPr>
          <w:sz w:val="17"/>
          <w:szCs w:val="17"/>
          <w:lang w:val="en-GB"/>
        </w:rPr>
      </w:pPr>
    </w:p>
    <w:p w14:paraId="10D718E2" w14:textId="77777777" w:rsidR="00D02768" w:rsidRDefault="00D02768" w:rsidP="00CA2D84">
      <w:pPr>
        <w:spacing w:line="240" w:lineRule="auto"/>
        <w:rPr>
          <w:sz w:val="17"/>
          <w:szCs w:val="17"/>
          <w:lang w:val="en-GB"/>
        </w:rPr>
      </w:pPr>
    </w:p>
    <w:p w14:paraId="1FE47DBE" w14:textId="77777777" w:rsidR="00D02768" w:rsidRDefault="00D02768" w:rsidP="00CA2D84">
      <w:pPr>
        <w:spacing w:line="240" w:lineRule="auto"/>
        <w:rPr>
          <w:sz w:val="17"/>
          <w:szCs w:val="17"/>
          <w:lang w:val="en-GB"/>
        </w:rPr>
      </w:pPr>
    </w:p>
    <w:p w14:paraId="47504E08" w14:textId="77777777" w:rsidR="00D02768" w:rsidRDefault="00D02768" w:rsidP="00CA2D84">
      <w:pPr>
        <w:spacing w:line="240" w:lineRule="auto"/>
        <w:rPr>
          <w:sz w:val="17"/>
          <w:szCs w:val="17"/>
          <w:lang w:val="en-GB"/>
        </w:rPr>
      </w:pPr>
    </w:p>
    <w:p w14:paraId="21FE61F6" w14:textId="77777777" w:rsidR="00D02768" w:rsidRDefault="00D02768" w:rsidP="00CA2D84">
      <w:pPr>
        <w:spacing w:line="240" w:lineRule="auto"/>
        <w:rPr>
          <w:sz w:val="17"/>
          <w:szCs w:val="17"/>
          <w:lang w:val="en-GB"/>
        </w:rPr>
      </w:pPr>
    </w:p>
    <w:p w14:paraId="5B8348F2" w14:textId="77777777" w:rsidR="00D02768" w:rsidRDefault="00D02768" w:rsidP="00CA2D84">
      <w:pPr>
        <w:spacing w:line="240" w:lineRule="auto"/>
        <w:rPr>
          <w:sz w:val="17"/>
          <w:szCs w:val="17"/>
          <w:lang w:val="en-GB"/>
        </w:rPr>
      </w:pPr>
    </w:p>
    <w:p w14:paraId="04D019FA" w14:textId="77777777" w:rsidR="00D02768" w:rsidRDefault="00D02768" w:rsidP="00CA2D84">
      <w:pPr>
        <w:spacing w:line="240" w:lineRule="auto"/>
        <w:rPr>
          <w:sz w:val="17"/>
          <w:szCs w:val="17"/>
          <w:lang w:val="en-GB"/>
        </w:rPr>
      </w:pPr>
    </w:p>
    <w:p w14:paraId="537CF887" w14:textId="77777777" w:rsidR="00D02768" w:rsidRDefault="00D02768" w:rsidP="00CA2D84">
      <w:pPr>
        <w:spacing w:line="240" w:lineRule="auto"/>
        <w:rPr>
          <w:sz w:val="17"/>
          <w:szCs w:val="17"/>
          <w:lang w:val="en-GB"/>
        </w:rPr>
      </w:pPr>
    </w:p>
    <w:p w14:paraId="14C72591" w14:textId="77777777" w:rsidR="00D02768" w:rsidRDefault="00D02768" w:rsidP="00CA2D84">
      <w:pPr>
        <w:spacing w:line="240" w:lineRule="auto"/>
        <w:rPr>
          <w:sz w:val="17"/>
          <w:szCs w:val="17"/>
          <w:lang w:val="en-GB"/>
        </w:rPr>
      </w:pPr>
    </w:p>
    <w:p w14:paraId="0F4056AA" w14:textId="77777777" w:rsidR="00D02768" w:rsidRDefault="00D02768" w:rsidP="00CA2D84">
      <w:pPr>
        <w:spacing w:line="240" w:lineRule="auto"/>
        <w:rPr>
          <w:sz w:val="17"/>
          <w:szCs w:val="17"/>
          <w:lang w:val="en-GB"/>
        </w:rPr>
      </w:pPr>
    </w:p>
    <w:p w14:paraId="09EBD5D7" w14:textId="77777777" w:rsidR="00D02768" w:rsidRDefault="00D02768" w:rsidP="00CA2D84">
      <w:pPr>
        <w:spacing w:line="240" w:lineRule="auto"/>
        <w:rPr>
          <w:sz w:val="17"/>
          <w:szCs w:val="17"/>
          <w:lang w:val="en-GB"/>
        </w:rPr>
      </w:pPr>
    </w:p>
    <w:p w14:paraId="1E56F87D" w14:textId="77777777" w:rsidR="00D02768" w:rsidRDefault="00D02768" w:rsidP="00CA2D84">
      <w:pPr>
        <w:spacing w:line="240" w:lineRule="auto"/>
        <w:rPr>
          <w:sz w:val="17"/>
          <w:szCs w:val="17"/>
          <w:lang w:val="en-GB"/>
        </w:rPr>
      </w:pPr>
    </w:p>
    <w:p w14:paraId="5E2E5E47" w14:textId="56BE63AD" w:rsidR="00CA2D84" w:rsidRPr="00FF0647" w:rsidRDefault="00CA2D84" w:rsidP="00CA2D84">
      <w:pPr>
        <w:spacing w:line="240" w:lineRule="auto"/>
        <w:rPr>
          <w:sz w:val="17"/>
          <w:szCs w:val="17"/>
          <w:lang w:val="en-GB"/>
        </w:rPr>
      </w:pPr>
      <w:r w:rsidRPr="00FF0647">
        <w:rPr>
          <w:sz w:val="17"/>
          <w:szCs w:val="17"/>
          <w:lang w:val="en-GB"/>
        </w:rPr>
        <w:t>The information contained herein is provided on the understanding that it neither represents nor is intended to be advice or that the authors or distributor is engaged in rendering legal or professional advice. Whilst every care has been taken in its preparation no person should act specifically on the basis of the material contained herein. If assistance is required, professional advice should be obtained.</w:t>
      </w:r>
    </w:p>
    <w:p w14:paraId="33E3BF82" w14:textId="77777777" w:rsidR="00CA2D84" w:rsidRPr="00FF0647" w:rsidRDefault="00CA2D84" w:rsidP="00CA2D84">
      <w:pPr>
        <w:spacing w:line="240" w:lineRule="auto"/>
        <w:rPr>
          <w:sz w:val="17"/>
          <w:szCs w:val="17"/>
          <w:lang w:val="en-GB"/>
        </w:rPr>
      </w:pPr>
    </w:p>
    <w:p w14:paraId="43369F6A" w14:textId="4D684D36" w:rsidR="00CA2D84" w:rsidRPr="00FF0647" w:rsidRDefault="00CA2D84" w:rsidP="00CA2D84">
      <w:pPr>
        <w:spacing w:line="240" w:lineRule="auto"/>
        <w:rPr>
          <w:sz w:val="17"/>
          <w:szCs w:val="17"/>
          <w:lang w:val="en-GB"/>
        </w:rPr>
      </w:pPr>
      <w:r w:rsidRPr="00FF0647">
        <w:rPr>
          <w:sz w:val="17"/>
          <w:szCs w:val="17"/>
          <w:lang w:val="en-GB"/>
        </w:rPr>
        <w:t xml:space="preserve">The material contained in the </w:t>
      </w:r>
      <w:r w:rsidR="0092316C">
        <w:rPr>
          <w:sz w:val="17"/>
          <w:szCs w:val="17"/>
          <w:lang w:val="en-GB"/>
        </w:rPr>
        <w:t>Budget 2022-23</w:t>
      </w:r>
      <w:r w:rsidR="007F03AD">
        <w:rPr>
          <w:sz w:val="17"/>
          <w:szCs w:val="17"/>
          <w:lang w:val="en-GB"/>
        </w:rPr>
        <w:t xml:space="preserve"> 2.0</w:t>
      </w:r>
      <w:r w:rsidR="00A4342F" w:rsidRPr="00FF0647">
        <w:rPr>
          <w:sz w:val="17"/>
          <w:szCs w:val="17"/>
          <w:lang w:val="en-GB"/>
        </w:rPr>
        <w:t xml:space="preserve"> Update </w:t>
      </w:r>
      <w:r w:rsidRPr="00FF0647">
        <w:rPr>
          <w:sz w:val="17"/>
          <w:szCs w:val="17"/>
          <w:lang w:val="en-GB"/>
        </w:rPr>
        <w:t xml:space="preserve">should be used as a guide in conjunction with professional expertise and judgement.  All responsibility for applications of the </w:t>
      </w:r>
      <w:r w:rsidR="0092316C">
        <w:rPr>
          <w:sz w:val="17"/>
          <w:szCs w:val="17"/>
          <w:lang w:val="en-GB"/>
        </w:rPr>
        <w:t>Budget 2022-23</w:t>
      </w:r>
      <w:r w:rsidR="00A4342F" w:rsidRPr="00FF0647">
        <w:rPr>
          <w:sz w:val="17"/>
          <w:szCs w:val="17"/>
          <w:lang w:val="en-GB"/>
        </w:rPr>
        <w:t xml:space="preserve"> </w:t>
      </w:r>
      <w:r w:rsidR="007F03AD">
        <w:rPr>
          <w:sz w:val="17"/>
          <w:szCs w:val="17"/>
          <w:lang w:val="en-GB"/>
        </w:rPr>
        <w:t xml:space="preserve">2.0 </w:t>
      </w:r>
      <w:r w:rsidR="00A4342F" w:rsidRPr="00FF0647">
        <w:rPr>
          <w:sz w:val="17"/>
          <w:szCs w:val="17"/>
          <w:lang w:val="en-GB"/>
        </w:rPr>
        <w:t xml:space="preserve">Update </w:t>
      </w:r>
      <w:r w:rsidRPr="00FF0647">
        <w:rPr>
          <w:sz w:val="17"/>
          <w:szCs w:val="17"/>
          <w:lang w:val="en-GB"/>
        </w:rPr>
        <w:t xml:space="preserve">and for the direct or indirect consequences of decisions based on the </w:t>
      </w:r>
      <w:r w:rsidR="0092316C">
        <w:rPr>
          <w:sz w:val="17"/>
          <w:szCs w:val="17"/>
          <w:lang w:val="en-GB"/>
        </w:rPr>
        <w:t>Budget 2022-23</w:t>
      </w:r>
      <w:r w:rsidR="00A4342F" w:rsidRPr="00FF0647">
        <w:rPr>
          <w:sz w:val="17"/>
          <w:szCs w:val="17"/>
          <w:lang w:val="en-GB"/>
        </w:rPr>
        <w:t xml:space="preserve"> </w:t>
      </w:r>
      <w:r w:rsidR="007F03AD">
        <w:rPr>
          <w:sz w:val="17"/>
          <w:szCs w:val="17"/>
          <w:lang w:val="en-GB"/>
        </w:rPr>
        <w:t xml:space="preserve">2.0 </w:t>
      </w:r>
      <w:r w:rsidR="00A4342F" w:rsidRPr="00FF0647">
        <w:rPr>
          <w:sz w:val="17"/>
          <w:szCs w:val="17"/>
          <w:lang w:val="en-GB"/>
        </w:rPr>
        <w:t xml:space="preserve">Update </w:t>
      </w:r>
      <w:r w:rsidRPr="00FF0647">
        <w:rPr>
          <w:sz w:val="17"/>
          <w:szCs w:val="17"/>
          <w:lang w:val="en-GB"/>
        </w:rPr>
        <w:t xml:space="preserve">rests with the user. Knowledge Shop Pty Ltd, directors and authors or any other person involved in the preparation and distribution of this guide, expressly disclaim all and any contractual, tortious or other form of liability to any person in respect of the </w:t>
      </w:r>
      <w:r w:rsidR="0092316C">
        <w:rPr>
          <w:sz w:val="17"/>
          <w:szCs w:val="17"/>
          <w:lang w:val="en-GB"/>
        </w:rPr>
        <w:t>Budget 2022-23</w:t>
      </w:r>
      <w:r w:rsidR="00A4342F" w:rsidRPr="00FF0647">
        <w:rPr>
          <w:sz w:val="17"/>
          <w:szCs w:val="17"/>
          <w:lang w:val="en-GB"/>
        </w:rPr>
        <w:t xml:space="preserve"> </w:t>
      </w:r>
      <w:r w:rsidR="007F03AD">
        <w:rPr>
          <w:sz w:val="17"/>
          <w:szCs w:val="17"/>
          <w:lang w:val="en-GB"/>
        </w:rPr>
        <w:t xml:space="preserve">2.0 </w:t>
      </w:r>
      <w:r w:rsidR="00A4342F" w:rsidRPr="00FF0647">
        <w:rPr>
          <w:sz w:val="17"/>
          <w:szCs w:val="17"/>
          <w:lang w:val="en-GB"/>
        </w:rPr>
        <w:t xml:space="preserve">Update </w:t>
      </w:r>
      <w:r w:rsidRPr="00FF0647">
        <w:rPr>
          <w:sz w:val="17"/>
          <w:szCs w:val="17"/>
          <w:lang w:val="en-GB"/>
        </w:rPr>
        <w:t>and any consequences arising from its use by any person in reliance upon the whole or any part of the contents of this guide.</w:t>
      </w:r>
    </w:p>
    <w:p w14:paraId="218E8066" w14:textId="77777777" w:rsidR="00CA2D84" w:rsidRPr="00FF0647" w:rsidRDefault="00CA2D84" w:rsidP="00CA2D84">
      <w:pPr>
        <w:spacing w:line="240" w:lineRule="auto"/>
        <w:rPr>
          <w:sz w:val="17"/>
          <w:szCs w:val="17"/>
          <w:lang w:val="en-GB"/>
        </w:rPr>
      </w:pPr>
    </w:p>
    <w:p w14:paraId="72E08931" w14:textId="44CC0A85" w:rsidR="00CA2D84" w:rsidRPr="00FF0647" w:rsidRDefault="00CA2D84" w:rsidP="00CA2D84">
      <w:pPr>
        <w:spacing w:line="240" w:lineRule="auto"/>
        <w:rPr>
          <w:sz w:val="17"/>
          <w:szCs w:val="17"/>
          <w:lang w:val="en-GB"/>
        </w:rPr>
      </w:pPr>
      <w:r w:rsidRPr="00FF0647">
        <w:rPr>
          <w:sz w:val="17"/>
          <w:szCs w:val="17"/>
          <w:lang w:val="en-GB"/>
        </w:rPr>
        <w:t>Copyright © Knowledge Shop Pty Lt</w:t>
      </w:r>
      <w:r w:rsidR="00A92003">
        <w:rPr>
          <w:sz w:val="17"/>
          <w:szCs w:val="17"/>
          <w:lang w:val="en-GB"/>
        </w:rPr>
        <w:t>d</w:t>
      </w:r>
      <w:r w:rsidRPr="00FF0647">
        <w:rPr>
          <w:sz w:val="17"/>
          <w:szCs w:val="17"/>
          <w:lang w:val="en-GB"/>
        </w:rPr>
        <w:t xml:space="preserve">. </w:t>
      </w:r>
      <w:r w:rsidR="007F03AD">
        <w:rPr>
          <w:sz w:val="17"/>
          <w:szCs w:val="17"/>
          <w:lang w:val="en-GB"/>
        </w:rPr>
        <w:t>October</w:t>
      </w:r>
      <w:r w:rsidR="0092316C">
        <w:rPr>
          <w:sz w:val="17"/>
          <w:szCs w:val="17"/>
          <w:lang w:val="en-GB"/>
        </w:rPr>
        <w:t xml:space="preserve"> 2022</w:t>
      </w:r>
    </w:p>
    <w:p w14:paraId="2AFC0939" w14:textId="77777777" w:rsidR="00CA2D84" w:rsidRPr="00FF0647" w:rsidRDefault="00CA2D84" w:rsidP="00CA2D84">
      <w:pPr>
        <w:spacing w:line="240" w:lineRule="auto"/>
        <w:rPr>
          <w:sz w:val="17"/>
          <w:szCs w:val="17"/>
          <w:lang w:val="en-GB"/>
        </w:rPr>
      </w:pPr>
    </w:p>
    <w:p w14:paraId="21FAA341" w14:textId="3272A7E5" w:rsidR="00CA2D84" w:rsidRPr="00FF0647" w:rsidRDefault="00CA2D84" w:rsidP="00CA2D84">
      <w:pPr>
        <w:spacing w:line="240" w:lineRule="auto"/>
        <w:rPr>
          <w:sz w:val="17"/>
          <w:szCs w:val="17"/>
          <w:lang w:val="en-GB"/>
        </w:rPr>
      </w:pPr>
      <w:r w:rsidRPr="00FF0647">
        <w:rPr>
          <w:sz w:val="17"/>
          <w:szCs w:val="17"/>
          <w:lang w:val="en-GB"/>
        </w:rPr>
        <w:t xml:space="preserve">All rights reserved. No part of the </w:t>
      </w:r>
      <w:r w:rsidR="0092316C">
        <w:rPr>
          <w:sz w:val="17"/>
          <w:szCs w:val="17"/>
          <w:lang w:val="en-GB"/>
        </w:rPr>
        <w:t>Budget 2022-23</w:t>
      </w:r>
      <w:r w:rsidR="00A4342F" w:rsidRPr="00FF0647">
        <w:rPr>
          <w:sz w:val="17"/>
          <w:szCs w:val="17"/>
          <w:lang w:val="en-GB"/>
        </w:rPr>
        <w:t xml:space="preserve"> </w:t>
      </w:r>
      <w:r w:rsidR="007F03AD">
        <w:rPr>
          <w:sz w:val="17"/>
          <w:szCs w:val="17"/>
          <w:lang w:val="en-GB"/>
        </w:rPr>
        <w:t>2.0 Update</w:t>
      </w:r>
      <w:r w:rsidR="00A4342F" w:rsidRPr="00FF0647">
        <w:rPr>
          <w:sz w:val="17"/>
          <w:szCs w:val="17"/>
          <w:lang w:val="en-GB"/>
        </w:rPr>
        <w:t xml:space="preserve"> </w:t>
      </w:r>
      <w:r w:rsidRPr="00FF0647">
        <w:rPr>
          <w:sz w:val="17"/>
          <w:szCs w:val="17"/>
          <w:lang w:val="en-GB"/>
        </w:rPr>
        <w:t>should be reproduced or utilised in any form or by any means, electronic or mechanical, including photocopying, recording or by information storage or retrieval system, other than specified without written permission from Knowledge Shop Pty Ltd.</w:t>
      </w:r>
    </w:p>
    <w:p w14:paraId="64C139A0" w14:textId="77777777" w:rsidR="006A436B" w:rsidRDefault="006A436B" w:rsidP="00CA2D84">
      <w:pPr>
        <w:spacing w:line="240" w:lineRule="auto"/>
        <w:rPr>
          <w:sz w:val="17"/>
          <w:szCs w:val="17"/>
          <w:lang w:val="en-GB"/>
        </w:rPr>
      </w:pPr>
    </w:p>
    <w:p w14:paraId="29924C74" w14:textId="5C323922" w:rsidR="00246092" w:rsidRDefault="00246092" w:rsidP="00CA2D84">
      <w:pPr>
        <w:spacing w:line="240" w:lineRule="auto"/>
        <w:rPr>
          <w:sz w:val="17"/>
          <w:szCs w:val="17"/>
          <w:lang w:val="en-GB"/>
        </w:rPr>
      </w:pPr>
    </w:p>
    <w:p w14:paraId="0DC6C0D2" w14:textId="77777777" w:rsidR="00246092" w:rsidRDefault="00246092" w:rsidP="00CA2D84">
      <w:pPr>
        <w:spacing w:line="240" w:lineRule="auto"/>
        <w:rPr>
          <w:sz w:val="17"/>
          <w:szCs w:val="17"/>
          <w:lang w:val="en-GB"/>
        </w:rPr>
      </w:pPr>
    </w:p>
    <w:p w14:paraId="0DE19A4E" w14:textId="4E3B4419" w:rsidR="00AF053E" w:rsidRPr="00FF0647" w:rsidRDefault="00AF053E" w:rsidP="00E17255">
      <w:pPr>
        <w:rPr>
          <w:lang w:val="en-GB"/>
        </w:rPr>
      </w:pPr>
    </w:p>
    <w:p w14:paraId="58513BFC" w14:textId="6C9A84F2" w:rsidR="00273BB5" w:rsidRPr="005F5E60" w:rsidRDefault="00416B80" w:rsidP="00416B80">
      <w:pPr>
        <w:pStyle w:val="Heading1"/>
        <w:rPr>
          <w:color w:val="auto"/>
        </w:rPr>
      </w:pPr>
      <w:bookmarkStart w:id="0" w:name="_Toc117667165"/>
      <w:r w:rsidRPr="005F5E60">
        <w:rPr>
          <w:color w:val="auto"/>
        </w:rPr>
        <w:lastRenderedPageBreak/>
        <w:t xml:space="preserve">Shuffling the decks: </w:t>
      </w:r>
      <w:r w:rsidR="007F03AD" w:rsidRPr="005F5E60">
        <w:rPr>
          <w:color w:val="auto"/>
        </w:rPr>
        <w:t xml:space="preserve">2022-23 Budget </w:t>
      </w:r>
      <w:r w:rsidRPr="005F5E60">
        <w:rPr>
          <w:color w:val="auto"/>
        </w:rPr>
        <w:t>2.0</w:t>
      </w:r>
      <w:bookmarkEnd w:id="0"/>
    </w:p>
    <w:p w14:paraId="6A1EE038" w14:textId="77777777" w:rsidR="00246092" w:rsidRPr="005F5E60" w:rsidRDefault="00246092" w:rsidP="00536BA2">
      <w:pPr>
        <w:rPr>
          <w:color w:val="auto"/>
        </w:rPr>
      </w:pPr>
    </w:p>
    <w:p w14:paraId="72F45320" w14:textId="77777777" w:rsidR="00EE49B3" w:rsidRPr="005F5E60" w:rsidRDefault="00EE49B3" w:rsidP="00536BA2">
      <w:pPr>
        <w:rPr>
          <w:color w:val="auto"/>
        </w:rPr>
        <w:sectPr w:rsidR="00EE49B3" w:rsidRPr="005F5E60" w:rsidSect="00EE6CFF">
          <w:type w:val="continuous"/>
          <w:pgSz w:w="11906" w:h="16838" w:code="9"/>
          <w:pgMar w:top="1985" w:right="1416" w:bottom="1134" w:left="1418" w:header="709" w:footer="567" w:gutter="0"/>
          <w:cols w:space="708"/>
          <w:titlePg/>
          <w:docGrid w:linePitch="360"/>
        </w:sectPr>
      </w:pPr>
    </w:p>
    <w:p w14:paraId="6DCBC5BE" w14:textId="77ED6A95" w:rsidR="00536BA2" w:rsidRPr="005F5E60" w:rsidRDefault="00536BA2" w:rsidP="00536BA2">
      <w:pPr>
        <w:rPr>
          <w:color w:val="auto"/>
        </w:rPr>
      </w:pPr>
      <w:r w:rsidRPr="005F5E60">
        <w:rPr>
          <w:color w:val="auto"/>
        </w:rPr>
        <w:t xml:space="preserve">There is nothing in this Budget that would create a UK style crisis. The stage 3 tax cuts </w:t>
      </w:r>
      <w:r w:rsidR="00E473B1" w:rsidRPr="005F5E60">
        <w:rPr>
          <w:color w:val="auto"/>
        </w:rPr>
        <w:t>legislated to commence on 1 July 202</w:t>
      </w:r>
      <w:r w:rsidR="00FA1E9F" w:rsidRPr="005F5E60">
        <w:rPr>
          <w:color w:val="auto"/>
        </w:rPr>
        <w:t>4</w:t>
      </w:r>
      <w:r w:rsidR="00E473B1" w:rsidRPr="005F5E60">
        <w:rPr>
          <w:color w:val="auto"/>
        </w:rPr>
        <w:t xml:space="preserve"> </w:t>
      </w:r>
      <w:r w:rsidRPr="005F5E60">
        <w:rPr>
          <w:color w:val="auto"/>
        </w:rPr>
        <w:t>are not mentioned, and most funding initiatives appear to be a reallocation</w:t>
      </w:r>
      <w:r w:rsidR="00B166EA" w:rsidRPr="005F5E60">
        <w:rPr>
          <w:color w:val="auto"/>
        </w:rPr>
        <w:t xml:space="preserve"> </w:t>
      </w:r>
      <w:r w:rsidRPr="005F5E60">
        <w:rPr>
          <w:color w:val="auto"/>
        </w:rPr>
        <w:t xml:space="preserve">of previous Government initiatives. </w:t>
      </w:r>
      <w:r w:rsidR="00EC64EF" w:rsidRPr="005F5E60">
        <w:rPr>
          <w:color w:val="auto"/>
        </w:rPr>
        <w:t>And, t</w:t>
      </w:r>
      <w:r w:rsidRPr="005F5E60">
        <w:rPr>
          <w:color w:val="auto"/>
        </w:rPr>
        <w:t xml:space="preserve">he commodity driven $54.4 billion improvement </w:t>
      </w:r>
      <w:r w:rsidR="007C7DC2" w:rsidRPr="005F5E60">
        <w:rPr>
          <w:color w:val="auto"/>
        </w:rPr>
        <w:t xml:space="preserve">in tax receipts </w:t>
      </w:r>
      <w:r w:rsidRPr="005F5E60">
        <w:rPr>
          <w:color w:val="auto"/>
        </w:rPr>
        <w:t xml:space="preserve">has </w:t>
      </w:r>
      <w:r w:rsidR="00E473B1" w:rsidRPr="005F5E60">
        <w:rPr>
          <w:color w:val="auto"/>
        </w:rPr>
        <w:t xml:space="preserve">largely </w:t>
      </w:r>
      <w:r w:rsidRPr="005F5E60">
        <w:rPr>
          <w:color w:val="auto"/>
        </w:rPr>
        <w:t>been banked</w:t>
      </w:r>
      <w:r w:rsidR="007C7DC2" w:rsidRPr="005F5E60">
        <w:rPr>
          <w:color w:val="auto"/>
        </w:rPr>
        <w:t>,</w:t>
      </w:r>
      <w:r w:rsidRPr="005F5E60">
        <w:rPr>
          <w:color w:val="auto"/>
        </w:rPr>
        <w:t xml:space="preserve"> not spent. </w:t>
      </w:r>
    </w:p>
    <w:p w14:paraId="0BE39091" w14:textId="0337C338" w:rsidR="00B166EA" w:rsidRPr="005F5E60" w:rsidRDefault="00B166EA" w:rsidP="00536BA2">
      <w:pPr>
        <w:rPr>
          <w:color w:val="auto"/>
        </w:rPr>
      </w:pPr>
    </w:p>
    <w:p w14:paraId="6848CA55" w14:textId="56F00DFF" w:rsidR="00B166EA" w:rsidRPr="005F5E60" w:rsidRDefault="00B166EA" w:rsidP="00B166EA">
      <w:pPr>
        <w:rPr>
          <w:color w:val="auto"/>
        </w:rPr>
      </w:pPr>
      <w:r w:rsidRPr="005F5E60">
        <w:rPr>
          <w:color w:val="auto"/>
        </w:rPr>
        <w:t xml:space="preserve">With </w:t>
      </w:r>
      <w:r w:rsidR="00D95BEE" w:rsidRPr="005F5E60">
        <w:rPr>
          <w:color w:val="auto"/>
        </w:rPr>
        <w:t>seven</w:t>
      </w:r>
      <w:r w:rsidRPr="005F5E60">
        <w:rPr>
          <w:color w:val="auto"/>
        </w:rPr>
        <w:t xml:space="preserve"> months before the 2023-24 Budget</w:t>
      </w:r>
      <w:r w:rsidR="001B67D6" w:rsidRPr="005F5E60">
        <w:rPr>
          <w:color w:val="auto"/>
        </w:rPr>
        <w:t xml:space="preserve"> released in May</w:t>
      </w:r>
      <w:r w:rsidR="00EC64EF" w:rsidRPr="005F5E60">
        <w:rPr>
          <w:color w:val="auto"/>
        </w:rPr>
        <w:t xml:space="preserve"> 2023</w:t>
      </w:r>
      <w:r w:rsidRPr="005F5E60">
        <w:rPr>
          <w:color w:val="auto"/>
        </w:rPr>
        <w:t>, this Budget is a shuffling of the deck not a new set of cards. And to continue the pun, we need to play the hand we have been dealt</w:t>
      </w:r>
      <w:r w:rsidR="00F57ABC" w:rsidRPr="005F5E60">
        <w:rPr>
          <w:color w:val="auto"/>
        </w:rPr>
        <w:t>,</w:t>
      </w:r>
      <w:r w:rsidRPr="005F5E60">
        <w:rPr>
          <w:color w:val="auto"/>
        </w:rPr>
        <w:t xml:space="preserve"> buffeted by externalities – war, floods, and global uncertainty.</w:t>
      </w:r>
    </w:p>
    <w:p w14:paraId="4EA841AA" w14:textId="3BF4D205" w:rsidR="00B166EA" w:rsidRPr="005F5E60" w:rsidRDefault="00B166EA" w:rsidP="00536BA2">
      <w:pPr>
        <w:rPr>
          <w:color w:val="auto"/>
        </w:rPr>
      </w:pPr>
    </w:p>
    <w:p w14:paraId="3A29CC21" w14:textId="04710477" w:rsidR="00B166EA" w:rsidRPr="005F5E60" w:rsidRDefault="00B166EA" w:rsidP="00536BA2">
      <w:pPr>
        <w:rPr>
          <w:color w:val="auto"/>
        </w:rPr>
      </w:pPr>
      <w:r w:rsidRPr="005F5E60">
        <w:rPr>
          <w:color w:val="auto"/>
        </w:rPr>
        <w:t xml:space="preserve">Cost of living pressures will continue. While some initiatives such as the increase to child care subsidies will help, the </w:t>
      </w:r>
      <w:r w:rsidR="0053280A" w:rsidRPr="005F5E60">
        <w:rPr>
          <w:color w:val="auto"/>
        </w:rPr>
        <w:t>B</w:t>
      </w:r>
      <w:r w:rsidRPr="005F5E60">
        <w:rPr>
          <w:color w:val="auto"/>
        </w:rPr>
        <w:t>udget flags some fairly bracing economic expectations:</w:t>
      </w:r>
    </w:p>
    <w:p w14:paraId="646FED56" w14:textId="3DD38992" w:rsidR="00B166EA" w:rsidRPr="005F5E60" w:rsidRDefault="00B166EA" w:rsidP="00536BA2">
      <w:pPr>
        <w:rPr>
          <w:color w:val="auto"/>
        </w:rPr>
      </w:pPr>
    </w:p>
    <w:p w14:paraId="5F98CE9E" w14:textId="33DEF080" w:rsidR="00B166EA" w:rsidRPr="005F5E60" w:rsidRDefault="00B166EA" w:rsidP="00415B61">
      <w:pPr>
        <w:pStyle w:val="ListParagraph"/>
        <w:rPr>
          <w:color w:val="auto"/>
        </w:rPr>
      </w:pPr>
      <w:r w:rsidRPr="005F5E60">
        <w:rPr>
          <w:color w:val="auto"/>
        </w:rPr>
        <w:t>Inflation expected to peak at 7</w:t>
      </w:r>
      <w:r w:rsidR="00773E61" w:rsidRPr="005F5E60">
        <w:rPr>
          <w:color w:val="auto"/>
        </w:rPr>
        <w:t>.75</w:t>
      </w:r>
      <w:r w:rsidRPr="005F5E60">
        <w:rPr>
          <w:color w:val="auto"/>
        </w:rPr>
        <w:t>% in the December quarte</w:t>
      </w:r>
      <w:r w:rsidR="00773E61" w:rsidRPr="005F5E60">
        <w:rPr>
          <w:color w:val="auto"/>
        </w:rPr>
        <w:t xml:space="preserve">r and will persist at higher rates for longer than expected </w:t>
      </w:r>
      <w:r w:rsidR="00EC64EF" w:rsidRPr="005F5E60">
        <w:rPr>
          <w:color w:val="auto"/>
        </w:rPr>
        <w:t>before</w:t>
      </w:r>
      <w:r w:rsidR="00773E61" w:rsidRPr="005F5E60">
        <w:rPr>
          <w:color w:val="auto"/>
        </w:rPr>
        <w:t xml:space="preserve"> easing to 3.5% by June 2024.</w:t>
      </w:r>
    </w:p>
    <w:p w14:paraId="043B65DC" w14:textId="1BD61934" w:rsidR="00B166EA" w:rsidRPr="005F5E60" w:rsidRDefault="00B166EA" w:rsidP="00415B61">
      <w:pPr>
        <w:pStyle w:val="ListParagraph"/>
        <w:rPr>
          <w:color w:val="auto"/>
        </w:rPr>
      </w:pPr>
      <w:r w:rsidRPr="005F5E60">
        <w:rPr>
          <w:color w:val="auto"/>
        </w:rPr>
        <w:t xml:space="preserve">Real GDP </w:t>
      </w:r>
      <w:r w:rsidR="00491C92" w:rsidRPr="005F5E60">
        <w:rPr>
          <w:color w:val="auto"/>
        </w:rPr>
        <w:t xml:space="preserve">is </w:t>
      </w:r>
      <w:r w:rsidRPr="005F5E60">
        <w:rPr>
          <w:color w:val="auto"/>
        </w:rPr>
        <w:t>forecast to grow to 3</w:t>
      </w:r>
      <w:r w:rsidR="00773E61" w:rsidRPr="005F5E60">
        <w:rPr>
          <w:color w:val="auto"/>
        </w:rPr>
        <w:t>.25</w:t>
      </w:r>
      <w:r w:rsidRPr="005F5E60">
        <w:rPr>
          <w:color w:val="auto"/>
        </w:rPr>
        <w:t>% in 2022-23 then retract to 1</w:t>
      </w:r>
      <w:r w:rsidR="00773E61" w:rsidRPr="005F5E60">
        <w:rPr>
          <w:color w:val="auto"/>
        </w:rPr>
        <w:t>.5</w:t>
      </w:r>
      <w:r w:rsidRPr="005F5E60">
        <w:rPr>
          <w:color w:val="auto"/>
        </w:rPr>
        <w:t>% in 2023-24</w:t>
      </w:r>
      <w:r w:rsidR="00EC64EF" w:rsidRPr="005F5E60">
        <w:rPr>
          <w:color w:val="auto"/>
        </w:rPr>
        <w:t>.</w:t>
      </w:r>
    </w:p>
    <w:p w14:paraId="775179BB" w14:textId="57CA85A3" w:rsidR="00B166EA" w:rsidRPr="005F5E60" w:rsidRDefault="00773E61" w:rsidP="00415B61">
      <w:pPr>
        <w:pStyle w:val="ListParagraph"/>
        <w:rPr>
          <w:color w:val="auto"/>
        </w:rPr>
      </w:pPr>
      <w:r w:rsidRPr="005F5E60">
        <w:rPr>
          <w:color w:val="auto"/>
        </w:rPr>
        <w:t xml:space="preserve">Electricity </w:t>
      </w:r>
      <w:r w:rsidR="00C91766" w:rsidRPr="005F5E60">
        <w:rPr>
          <w:color w:val="auto"/>
        </w:rPr>
        <w:t>prices are expected to increase nationally by an average of 20% in late 2022</w:t>
      </w:r>
      <w:r w:rsidR="00415B61" w:rsidRPr="005F5E60">
        <w:rPr>
          <w:color w:val="auto"/>
        </w:rPr>
        <w:t>, with retail electricity prices expected to rise by a further 30% in 2023-24</w:t>
      </w:r>
      <w:r w:rsidR="00EC64EF" w:rsidRPr="005F5E60">
        <w:rPr>
          <w:color w:val="auto"/>
        </w:rPr>
        <w:t>.</w:t>
      </w:r>
    </w:p>
    <w:p w14:paraId="4E323505" w14:textId="28C25569" w:rsidR="00415B61" w:rsidRPr="005F5E60" w:rsidRDefault="00415B61" w:rsidP="00415B61">
      <w:pPr>
        <w:pStyle w:val="ListParagraph"/>
        <w:rPr>
          <w:color w:val="auto"/>
        </w:rPr>
      </w:pPr>
      <w:r w:rsidRPr="005F5E60">
        <w:rPr>
          <w:color w:val="auto"/>
        </w:rPr>
        <w:t>The deficit sits</w:t>
      </w:r>
      <w:r w:rsidR="00491C92" w:rsidRPr="005F5E60">
        <w:rPr>
          <w:color w:val="auto"/>
        </w:rPr>
        <w:t xml:space="preserve"> at</w:t>
      </w:r>
      <w:r w:rsidRPr="005F5E60">
        <w:rPr>
          <w:color w:val="auto"/>
        </w:rPr>
        <w:t xml:space="preserve"> $36.9bn</w:t>
      </w:r>
      <w:r w:rsidR="00491C92" w:rsidRPr="005F5E60">
        <w:rPr>
          <w:color w:val="auto"/>
        </w:rPr>
        <w:t xml:space="preserve">, while this is better than originally estimated, the deficit </w:t>
      </w:r>
      <w:r w:rsidR="00D95BEE" w:rsidRPr="005F5E60">
        <w:rPr>
          <w:color w:val="auto"/>
        </w:rPr>
        <w:t>expand</w:t>
      </w:r>
      <w:r w:rsidR="00491C92" w:rsidRPr="005F5E60">
        <w:rPr>
          <w:color w:val="auto"/>
        </w:rPr>
        <w:t>s</w:t>
      </w:r>
      <w:r w:rsidR="00D95BEE" w:rsidRPr="005F5E60">
        <w:rPr>
          <w:color w:val="auto"/>
        </w:rPr>
        <w:t xml:space="preserve"> to $49.5</w:t>
      </w:r>
      <w:r w:rsidR="00DC2634" w:rsidRPr="005F5E60">
        <w:rPr>
          <w:color w:val="auto"/>
        </w:rPr>
        <w:t>bn</w:t>
      </w:r>
      <w:r w:rsidR="00D95BEE" w:rsidRPr="005F5E60">
        <w:rPr>
          <w:color w:val="auto"/>
        </w:rPr>
        <w:t xml:space="preserve"> by 2025-26.</w:t>
      </w:r>
    </w:p>
    <w:p w14:paraId="1158C597" w14:textId="77777777" w:rsidR="00B166EA" w:rsidRPr="005F5E60" w:rsidRDefault="00B166EA" w:rsidP="00536BA2">
      <w:pPr>
        <w:rPr>
          <w:color w:val="auto"/>
        </w:rPr>
      </w:pPr>
    </w:p>
    <w:p w14:paraId="6CC8DA9C" w14:textId="15E67EBA" w:rsidR="00D95BEE" w:rsidRPr="005F5E60" w:rsidRDefault="00D95BEE" w:rsidP="00D95BEE">
      <w:pPr>
        <w:rPr>
          <w:color w:val="auto"/>
        </w:rPr>
      </w:pPr>
      <w:r w:rsidRPr="005F5E60">
        <w:rPr>
          <w:color w:val="auto"/>
        </w:rPr>
        <w:t>Tight labour market conditions are expected to see annual wage growth pick up to 3.75% by June 2023. Even so, high inflation is expected to see real wages fall over 2022-23 before rising slightly over 2023-24.</w:t>
      </w:r>
      <w:r w:rsidR="00A51D32" w:rsidRPr="005F5E60">
        <w:rPr>
          <w:color w:val="auto"/>
        </w:rPr>
        <w:t xml:space="preserve"> That is, you</w:t>
      </w:r>
      <w:r w:rsidR="0001659A" w:rsidRPr="005F5E60">
        <w:rPr>
          <w:color w:val="auto"/>
        </w:rPr>
        <w:t>r</w:t>
      </w:r>
      <w:r w:rsidR="00A51D32" w:rsidRPr="005F5E60">
        <w:rPr>
          <w:color w:val="auto"/>
        </w:rPr>
        <w:t xml:space="preserve"> wages might increase but the gains will be eaten away by the increasing cost of living.</w:t>
      </w:r>
    </w:p>
    <w:p w14:paraId="7F6F9FD0" w14:textId="25C137D2" w:rsidR="002E2C0F" w:rsidRPr="005F5E60" w:rsidRDefault="002E2C0F" w:rsidP="002E2C0F">
      <w:pPr>
        <w:rPr>
          <w:color w:val="auto"/>
        </w:rPr>
      </w:pPr>
    </w:p>
    <w:p w14:paraId="7E192C84" w14:textId="77777777" w:rsidR="002328B5" w:rsidRPr="005F5E60" w:rsidRDefault="00817F0C" w:rsidP="007F03AD">
      <w:pPr>
        <w:rPr>
          <w:color w:val="auto"/>
        </w:rPr>
      </w:pPr>
      <w:r w:rsidRPr="005F5E60">
        <w:rPr>
          <w:color w:val="auto"/>
        </w:rPr>
        <w:t xml:space="preserve">The ATO gets </w:t>
      </w:r>
      <w:r w:rsidR="00E176C3" w:rsidRPr="005F5E60">
        <w:rPr>
          <w:color w:val="auto"/>
        </w:rPr>
        <w:t>an extra $80</w:t>
      </w:r>
      <w:r w:rsidR="00F20115" w:rsidRPr="005F5E60">
        <w:rPr>
          <w:color w:val="auto"/>
        </w:rPr>
        <w:t>m</w:t>
      </w:r>
      <w:r w:rsidR="00E176C3" w:rsidRPr="005F5E60">
        <w:rPr>
          <w:color w:val="auto"/>
        </w:rPr>
        <w:t xml:space="preserve"> to extend its personal income tax compliance program, </w:t>
      </w:r>
      <w:r w:rsidRPr="005F5E60">
        <w:rPr>
          <w:color w:val="auto"/>
        </w:rPr>
        <w:t>with</w:t>
      </w:r>
      <w:r w:rsidR="00E176C3" w:rsidRPr="005F5E60">
        <w:rPr>
          <w:color w:val="auto"/>
        </w:rPr>
        <w:t xml:space="preserve"> $674m </w:t>
      </w:r>
      <w:r w:rsidRPr="005F5E60">
        <w:rPr>
          <w:color w:val="auto"/>
        </w:rPr>
        <w:t xml:space="preserve">anticipated </w:t>
      </w:r>
      <w:r w:rsidR="00E176C3" w:rsidRPr="005F5E60">
        <w:rPr>
          <w:color w:val="auto"/>
        </w:rPr>
        <w:t>in increased receipts and over $80m in increased payments</w:t>
      </w:r>
      <w:r w:rsidR="0064027B" w:rsidRPr="005F5E60">
        <w:rPr>
          <w:color w:val="auto"/>
        </w:rPr>
        <w:t xml:space="preserve"> as a result</w:t>
      </w:r>
      <w:r w:rsidR="00E176C3" w:rsidRPr="005F5E60">
        <w:rPr>
          <w:color w:val="auto"/>
        </w:rPr>
        <w:t>.</w:t>
      </w:r>
      <w:r w:rsidRPr="005F5E60">
        <w:rPr>
          <w:color w:val="auto"/>
        </w:rPr>
        <w:t xml:space="preserve"> </w:t>
      </w:r>
      <w:r w:rsidR="00A51D32" w:rsidRPr="005F5E60">
        <w:rPr>
          <w:color w:val="auto"/>
        </w:rPr>
        <w:t xml:space="preserve">Tax deductions will be looked at closely. </w:t>
      </w:r>
    </w:p>
    <w:p w14:paraId="46173BB4" w14:textId="77777777" w:rsidR="002328B5" w:rsidRPr="005F5E60" w:rsidRDefault="002328B5" w:rsidP="007F03AD">
      <w:pPr>
        <w:rPr>
          <w:color w:val="auto"/>
        </w:rPr>
      </w:pPr>
    </w:p>
    <w:p w14:paraId="10A85526" w14:textId="3A8E40D2" w:rsidR="002328B5" w:rsidRPr="005F5E60" w:rsidRDefault="00A51D32" w:rsidP="002328B5">
      <w:pPr>
        <w:rPr>
          <w:color w:val="auto"/>
        </w:rPr>
      </w:pPr>
      <w:r w:rsidRPr="005F5E60">
        <w:rPr>
          <w:color w:val="auto"/>
        </w:rPr>
        <w:t>As expected, m</w:t>
      </w:r>
      <w:r w:rsidR="0064027B" w:rsidRPr="005F5E60">
        <w:rPr>
          <w:color w:val="auto"/>
        </w:rPr>
        <w:t xml:space="preserve">ulti-nationals are </w:t>
      </w:r>
      <w:r w:rsidRPr="005F5E60">
        <w:rPr>
          <w:color w:val="auto"/>
        </w:rPr>
        <w:t>a</w:t>
      </w:r>
      <w:r w:rsidR="0064027B" w:rsidRPr="005F5E60">
        <w:rPr>
          <w:color w:val="auto"/>
        </w:rPr>
        <w:t xml:space="preserve"> target</w:t>
      </w:r>
      <w:r w:rsidR="002328B5" w:rsidRPr="005F5E60">
        <w:rPr>
          <w:color w:val="auto"/>
        </w:rPr>
        <w:t xml:space="preserve">. New measures will limit opportunities to </w:t>
      </w:r>
      <w:r w:rsidR="00396A5E" w:rsidRPr="005F5E60">
        <w:rPr>
          <w:color w:val="auto"/>
        </w:rPr>
        <w:t xml:space="preserve">shift taxable </w:t>
      </w:r>
      <w:r w:rsidR="002328B5" w:rsidRPr="005F5E60">
        <w:rPr>
          <w:color w:val="auto"/>
        </w:rPr>
        <w:t>profits</w:t>
      </w:r>
      <w:r w:rsidR="00396A5E" w:rsidRPr="005F5E60">
        <w:rPr>
          <w:color w:val="auto"/>
        </w:rPr>
        <w:t xml:space="preserve"> offshore</w:t>
      </w:r>
      <w:r w:rsidR="002328B5" w:rsidRPr="005F5E60">
        <w:rPr>
          <w:color w:val="auto"/>
        </w:rPr>
        <w:t xml:space="preserve">. And, the ATO’s Tax Avoidance Taskforce </w:t>
      </w:r>
      <w:r w:rsidR="00F34A40" w:rsidRPr="005F5E60">
        <w:rPr>
          <w:color w:val="auto"/>
        </w:rPr>
        <w:t xml:space="preserve">is </w:t>
      </w:r>
      <w:r w:rsidR="002328B5" w:rsidRPr="005F5E60">
        <w:rPr>
          <w:color w:val="auto"/>
        </w:rPr>
        <w:t>expected to deliver a whopping $2.8bn in additional tax receipts and $1.1bn in payments over the 4 year period.</w:t>
      </w:r>
    </w:p>
    <w:p w14:paraId="4A9DBF6B" w14:textId="19B5FCA1" w:rsidR="005F5E60" w:rsidRDefault="005F5E60" w:rsidP="007F03AD">
      <w:pPr>
        <w:rPr>
          <w:color w:val="auto"/>
        </w:rPr>
      </w:pPr>
    </w:p>
    <w:p w14:paraId="321C51B1" w14:textId="77777777" w:rsidR="005F5E60" w:rsidRPr="005F5E60" w:rsidRDefault="005F5E60" w:rsidP="005F5E60">
      <w:pPr>
        <w:rPr>
          <w:color w:val="auto"/>
        </w:rPr>
      </w:pPr>
      <w:r w:rsidRPr="005F5E60">
        <w:rPr>
          <w:color w:val="auto"/>
        </w:rPr>
        <w:t>If we can assist you to take advantage of any of the Budget measures, or to risk protect your position, please let us know.</w:t>
      </w:r>
    </w:p>
    <w:p w14:paraId="0376B671" w14:textId="77777777" w:rsidR="005F5E60" w:rsidRPr="005F5E60" w:rsidRDefault="005F5E60" w:rsidP="005F5E60">
      <w:pPr>
        <w:rPr>
          <w:color w:val="auto"/>
        </w:rPr>
      </w:pPr>
    </w:p>
    <w:p w14:paraId="7C41B6EF" w14:textId="77777777" w:rsidR="005F5E60" w:rsidRPr="005F5E60" w:rsidRDefault="005F5E60" w:rsidP="005F5E60">
      <w:pPr>
        <w:rPr>
          <w:color w:val="auto"/>
        </w:rPr>
      </w:pPr>
      <w:r w:rsidRPr="005F5E60">
        <w:rPr>
          <w:color w:val="auto"/>
        </w:rPr>
        <w:t>As always, we’re here if you need us!</w:t>
      </w:r>
    </w:p>
    <w:p w14:paraId="0013DD46" w14:textId="77777777" w:rsidR="005F5E60" w:rsidRPr="005F5E60" w:rsidRDefault="005F5E60" w:rsidP="005F5E60">
      <w:pPr>
        <w:rPr>
          <w:color w:val="auto"/>
        </w:rPr>
      </w:pPr>
    </w:p>
    <w:p w14:paraId="151C7005" w14:textId="77777777" w:rsidR="005F5E60" w:rsidRPr="005F5E60" w:rsidRDefault="005F5E60" w:rsidP="005F5E60">
      <w:pPr>
        <w:rPr>
          <w:color w:val="auto"/>
        </w:rPr>
      </w:pPr>
    </w:p>
    <w:p w14:paraId="7F021C06" w14:textId="77777777" w:rsidR="005F5E60" w:rsidRPr="005F5E60" w:rsidRDefault="005F5E60" w:rsidP="005F5E60">
      <w:pPr>
        <w:rPr>
          <w:color w:val="auto"/>
        </w:rPr>
      </w:pPr>
    </w:p>
    <w:p w14:paraId="0EFA001F" w14:textId="77777777" w:rsidR="005F5E60" w:rsidRPr="005F5E60" w:rsidRDefault="005F5E60" w:rsidP="005F5E60">
      <w:pPr>
        <w:rPr>
          <w:color w:val="auto"/>
        </w:rPr>
      </w:pPr>
    </w:p>
    <w:p w14:paraId="27E362EE" w14:textId="77777777" w:rsidR="005F5E60" w:rsidRPr="005F5E60" w:rsidRDefault="005F5E60" w:rsidP="005F5E60">
      <w:pPr>
        <w:rPr>
          <w:color w:val="auto"/>
        </w:rPr>
      </w:pPr>
      <w:r w:rsidRPr="005F5E60">
        <w:rPr>
          <w:color w:val="auto"/>
        </w:rPr>
        <w:t>Your name</w:t>
      </w:r>
    </w:p>
    <w:p w14:paraId="75A96F19" w14:textId="52D37F96" w:rsidR="005F5E60" w:rsidRPr="005F5E60" w:rsidRDefault="005F5E60" w:rsidP="005F5E60">
      <w:pPr>
        <w:rPr>
          <w:color w:val="auto"/>
        </w:rPr>
      </w:pPr>
      <w:r w:rsidRPr="005F5E60">
        <w:rPr>
          <w:color w:val="auto"/>
        </w:rPr>
        <w:t>Title</w:t>
      </w:r>
      <w:r>
        <w:rPr>
          <w:color w:val="auto"/>
        </w:rPr>
        <w:br/>
        <w:t>Firm and contact details</w:t>
      </w:r>
    </w:p>
    <w:p w14:paraId="395CBC01" w14:textId="0E9405A9" w:rsidR="00C256CB" w:rsidRPr="005F5E60" w:rsidRDefault="00C256CB" w:rsidP="007F03AD">
      <w:pPr>
        <w:rPr>
          <w:color w:val="auto"/>
        </w:rPr>
      </w:pPr>
    </w:p>
    <w:p w14:paraId="6B203890" w14:textId="6DC694E3" w:rsidR="00EE49B3" w:rsidRPr="005F5E60" w:rsidRDefault="00EE49B3" w:rsidP="00EE49B3">
      <w:pPr>
        <w:rPr>
          <w:color w:val="auto"/>
          <w:lang w:val="en-GB"/>
        </w:rPr>
      </w:pPr>
    </w:p>
    <w:p w14:paraId="4E26EEE9" w14:textId="77777777" w:rsidR="00EE49B3" w:rsidRPr="005F5E60" w:rsidRDefault="00EE49B3" w:rsidP="00EE49B3">
      <w:pPr>
        <w:rPr>
          <w:color w:val="auto"/>
          <w:lang w:val="en-GB"/>
        </w:rPr>
      </w:pPr>
    </w:p>
    <w:p w14:paraId="2225F2F1" w14:textId="623075DD" w:rsidR="00EE49B3" w:rsidRPr="005F5E60" w:rsidRDefault="005F5E60" w:rsidP="00EE49B3">
      <w:pPr>
        <w:rPr>
          <w:color w:val="auto"/>
        </w:rPr>
        <w:sectPr w:rsidR="00EE49B3" w:rsidRPr="005F5E60" w:rsidSect="00EE49B3">
          <w:type w:val="continuous"/>
          <w:pgSz w:w="11906" w:h="16838" w:code="9"/>
          <w:pgMar w:top="1985" w:right="1416" w:bottom="1134" w:left="1418" w:header="709" w:footer="567" w:gutter="0"/>
          <w:cols w:num="2" w:space="708"/>
          <w:titlePg/>
          <w:docGrid w:linePitch="360"/>
        </w:sectPr>
      </w:pPr>
      <w:r>
        <w:rPr>
          <w:color w:val="auto"/>
          <w:sz w:val="20"/>
          <w:szCs w:val="20"/>
        </w:rPr>
        <w:t xml:space="preserve"> </w:t>
      </w:r>
    </w:p>
    <w:p w14:paraId="7158C8E4" w14:textId="77777777" w:rsidR="00EC64EF" w:rsidRPr="005F5E60" w:rsidRDefault="00EC64EF" w:rsidP="007F03AD">
      <w:pPr>
        <w:rPr>
          <w:color w:val="auto"/>
        </w:rPr>
      </w:pPr>
    </w:p>
    <w:p w14:paraId="3A369580" w14:textId="77777777" w:rsidR="00AE0B2C" w:rsidRPr="005F5E60" w:rsidRDefault="00AE0B2C" w:rsidP="00AE0B2C">
      <w:pPr>
        <w:pStyle w:val="Boxed"/>
        <w:rPr>
          <w:color w:val="auto"/>
        </w:rPr>
      </w:pPr>
      <w:bookmarkStart w:id="1" w:name="_Toc71694147"/>
    </w:p>
    <w:p w14:paraId="4E9AF864" w14:textId="77777777" w:rsidR="00AE0B2C" w:rsidRPr="005F5E60" w:rsidRDefault="00AE0B2C" w:rsidP="00AE0B2C">
      <w:pPr>
        <w:rPr>
          <w:rFonts w:ascii="Bierstadt" w:eastAsiaTheme="majorEastAsia" w:hAnsi="Bierstadt" w:cstheme="majorBidi"/>
          <w:color w:val="auto"/>
          <w:sz w:val="48"/>
          <w:szCs w:val="44"/>
          <w:lang w:val="en-GB"/>
        </w:rPr>
      </w:pPr>
      <w:r w:rsidRPr="005F5E60">
        <w:rPr>
          <w:color w:val="auto"/>
          <w:lang w:val="en-GB"/>
        </w:rPr>
        <w:br w:type="page"/>
      </w:r>
    </w:p>
    <w:p w14:paraId="38B7BC80" w14:textId="77777777" w:rsidR="008329C9" w:rsidRDefault="008329C9" w:rsidP="008329C9">
      <w:pPr>
        <w:pStyle w:val="Heading1"/>
        <w:rPr>
          <w:lang w:val="en-GB"/>
        </w:rPr>
      </w:pPr>
      <w:bookmarkStart w:id="2" w:name="_Toc71714351"/>
      <w:bookmarkStart w:id="3" w:name="_Toc99523829"/>
      <w:bookmarkStart w:id="4" w:name="_Toc117667166"/>
      <w:r>
        <w:rPr>
          <w:lang w:val="en-GB"/>
        </w:rPr>
        <w:lastRenderedPageBreak/>
        <w:t>The team</w:t>
      </w:r>
      <w:bookmarkEnd w:id="2"/>
      <w:bookmarkEnd w:id="3"/>
      <w:bookmarkEnd w:id="4"/>
    </w:p>
    <w:p w14:paraId="7BC75995" w14:textId="18F2854A" w:rsidR="008329C9" w:rsidRDefault="008329C9" w:rsidP="008329C9">
      <w:pPr>
        <w:rPr>
          <w:lang w:val="en-GB"/>
        </w:rPr>
      </w:pPr>
      <w:r>
        <w:rPr>
          <w:lang w:val="en-GB"/>
        </w:rPr>
        <w:t>The XX team are available to assist you with any of the Budget measures or economic risks.</w:t>
      </w:r>
    </w:p>
    <w:p w14:paraId="29C4AD3B" w14:textId="77777777" w:rsidR="008329C9" w:rsidRDefault="008329C9" w:rsidP="008329C9">
      <w:pPr>
        <w:rPr>
          <w:lang w:val="en-GB"/>
        </w:rPr>
      </w:pPr>
    </w:p>
    <w:p w14:paraId="79366CE6" w14:textId="77777777" w:rsidR="008329C9" w:rsidRDefault="008329C9" w:rsidP="008329C9">
      <w:pPr>
        <w:rPr>
          <w:lang w:val="en-GB"/>
        </w:rPr>
      </w:pPr>
      <w:r>
        <w:rPr>
          <w:lang w:val="en-GB"/>
        </w:rPr>
        <w:t>Add team members and contact details here</w:t>
      </w:r>
    </w:p>
    <w:p w14:paraId="617E6C44" w14:textId="77777777" w:rsidR="008329C9" w:rsidRDefault="008329C9">
      <w:pPr>
        <w:spacing w:after="200"/>
        <w:rPr>
          <w:rFonts w:ascii="Bierstadt" w:eastAsiaTheme="majorEastAsia" w:hAnsi="Bierstadt" w:cstheme="majorBidi"/>
          <w:sz w:val="48"/>
          <w:szCs w:val="44"/>
          <w:lang w:val="en-GB"/>
        </w:rPr>
      </w:pPr>
      <w:r>
        <w:rPr>
          <w:lang w:val="en-GB"/>
        </w:rPr>
        <w:br w:type="page"/>
      </w:r>
    </w:p>
    <w:p w14:paraId="051459D0" w14:textId="2B5E736A" w:rsidR="00407DD4" w:rsidRDefault="00AA7401" w:rsidP="008B0944">
      <w:pPr>
        <w:pStyle w:val="Heading1"/>
        <w:rPr>
          <w:lang w:val="en-GB"/>
        </w:rPr>
      </w:pPr>
      <w:bookmarkStart w:id="5" w:name="_Toc117667167"/>
      <w:r>
        <w:rPr>
          <w:lang w:val="en-GB"/>
        </w:rPr>
        <w:lastRenderedPageBreak/>
        <w:t>I</w:t>
      </w:r>
      <w:r w:rsidR="0092316C">
        <w:rPr>
          <w:lang w:val="en-GB"/>
        </w:rPr>
        <w:t>ndividuals</w:t>
      </w:r>
      <w:r w:rsidR="00D77877">
        <w:rPr>
          <w:lang w:val="en-GB"/>
        </w:rPr>
        <w:t xml:space="preserve"> &amp;</w:t>
      </w:r>
      <w:r w:rsidR="00960FBE">
        <w:rPr>
          <w:lang w:val="en-GB"/>
        </w:rPr>
        <w:t xml:space="preserve"> </w:t>
      </w:r>
      <w:r w:rsidR="0092316C">
        <w:rPr>
          <w:lang w:val="en-GB"/>
        </w:rPr>
        <w:t>families</w:t>
      </w:r>
      <w:bookmarkEnd w:id="1"/>
      <w:bookmarkEnd w:id="5"/>
    </w:p>
    <w:p w14:paraId="4C2C3DA6" w14:textId="77777777" w:rsidR="00AE0B2C" w:rsidRDefault="00AE0B2C" w:rsidP="008B0944">
      <w:pPr>
        <w:pStyle w:val="Heading2"/>
        <w:spacing w:before="0"/>
        <w:rPr>
          <w:lang w:val="en-GB"/>
        </w:rPr>
        <w:sectPr w:rsidR="00AE0B2C" w:rsidSect="00EE6CFF">
          <w:type w:val="continuous"/>
          <w:pgSz w:w="11906" w:h="16838" w:code="9"/>
          <w:pgMar w:top="1985" w:right="1416" w:bottom="1134" w:left="1418" w:header="709" w:footer="567" w:gutter="0"/>
          <w:cols w:space="708"/>
          <w:titlePg/>
          <w:docGrid w:linePitch="360"/>
        </w:sectPr>
      </w:pPr>
    </w:p>
    <w:p w14:paraId="2FF97EFE" w14:textId="3537A616" w:rsidR="004C1939" w:rsidRDefault="003301F6" w:rsidP="008B0944">
      <w:pPr>
        <w:pStyle w:val="Heading2"/>
        <w:spacing w:before="0"/>
        <w:rPr>
          <w:lang w:val="en-GB"/>
        </w:rPr>
      </w:pPr>
      <w:bookmarkStart w:id="6" w:name="_Toc117667168"/>
      <w:r>
        <w:rPr>
          <w:lang w:val="en-GB"/>
        </w:rPr>
        <w:t xml:space="preserve">Child </w:t>
      </w:r>
      <w:r w:rsidR="005F3A2D">
        <w:rPr>
          <w:lang w:val="en-GB"/>
        </w:rPr>
        <w:t>C</w:t>
      </w:r>
      <w:r>
        <w:rPr>
          <w:lang w:val="en-GB"/>
        </w:rPr>
        <w:t xml:space="preserve">are </w:t>
      </w:r>
      <w:r w:rsidR="005F3A2D">
        <w:rPr>
          <w:lang w:val="en-GB"/>
        </w:rPr>
        <w:t>S</w:t>
      </w:r>
      <w:r>
        <w:rPr>
          <w:lang w:val="en-GB"/>
        </w:rPr>
        <w:t xml:space="preserve">ubsidy </w:t>
      </w:r>
      <w:r w:rsidR="00536BA2">
        <w:rPr>
          <w:lang w:val="en-GB"/>
        </w:rPr>
        <w:t>increase</w:t>
      </w:r>
      <w:bookmarkEnd w:id="6"/>
    </w:p>
    <w:tbl>
      <w:tblPr>
        <w:tblStyle w:val="TableContemporary"/>
        <w:tblW w:w="0" w:type="auto"/>
        <w:tblLook w:val="0400" w:firstRow="0" w:lastRow="0" w:firstColumn="0" w:lastColumn="0" w:noHBand="0" w:noVBand="1"/>
      </w:tblPr>
      <w:tblGrid>
        <w:gridCol w:w="988"/>
        <w:gridCol w:w="3183"/>
      </w:tblGrid>
      <w:tr w:rsidR="00CB069D" w:rsidRPr="0052217A" w14:paraId="26BF16BE" w14:textId="77777777" w:rsidTr="006B148F">
        <w:trPr>
          <w:cnfStyle w:val="000000100000" w:firstRow="0" w:lastRow="0" w:firstColumn="0" w:lastColumn="0" w:oddVBand="0" w:evenVBand="0" w:oddHBand="1" w:evenHBand="0" w:firstRowFirstColumn="0" w:firstRowLastColumn="0" w:lastRowFirstColumn="0" w:lastRowLastColumn="0"/>
        </w:trPr>
        <w:tc>
          <w:tcPr>
            <w:tcW w:w="988" w:type="dxa"/>
          </w:tcPr>
          <w:p w14:paraId="5D1C88E6" w14:textId="77777777" w:rsidR="00CB069D" w:rsidRPr="0052217A" w:rsidRDefault="00CB069D" w:rsidP="006B148F">
            <w:pPr>
              <w:rPr>
                <w:b/>
                <w:bCs/>
                <w:sz w:val="20"/>
              </w:rPr>
            </w:pPr>
            <w:r w:rsidRPr="0052217A">
              <w:rPr>
                <w:b/>
                <w:bCs/>
                <w:sz w:val="20"/>
              </w:rPr>
              <w:t>From</w:t>
            </w:r>
          </w:p>
        </w:tc>
        <w:tc>
          <w:tcPr>
            <w:tcW w:w="3184" w:type="dxa"/>
          </w:tcPr>
          <w:p w14:paraId="2ABCC42F" w14:textId="18D9A7A4" w:rsidR="00CB069D" w:rsidRPr="0052217A" w:rsidRDefault="00536BA2" w:rsidP="006B148F">
            <w:pPr>
              <w:rPr>
                <w:sz w:val="20"/>
              </w:rPr>
            </w:pPr>
            <w:r>
              <w:rPr>
                <w:sz w:val="20"/>
              </w:rPr>
              <w:t>2022-23</w:t>
            </w:r>
          </w:p>
        </w:tc>
      </w:tr>
    </w:tbl>
    <w:p w14:paraId="018CE119" w14:textId="7101096E" w:rsidR="00CB069D" w:rsidRDefault="00CB069D" w:rsidP="00CB069D">
      <w:pPr>
        <w:rPr>
          <w:lang w:val="en-GB"/>
        </w:rPr>
      </w:pPr>
    </w:p>
    <w:p w14:paraId="4FD3AC68" w14:textId="691FB514" w:rsidR="00536BA2" w:rsidRDefault="00536BA2" w:rsidP="00CA0C7D">
      <w:pPr>
        <w:rPr>
          <w:lang w:val="en-GB"/>
        </w:rPr>
      </w:pPr>
      <w:r>
        <w:rPr>
          <w:lang w:val="en-GB"/>
        </w:rPr>
        <w:t xml:space="preserve">As previously announced, the </w:t>
      </w:r>
      <w:r w:rsidR="003713E1">
        <w:rPr>
          <w:lang w:val="en-GB"/>
        </w:rPr>
        <w:t xml:space="preserve">maximum </w:t>
      </w:r>
      <w:r w:rsidR="005F3A2D">
        <w:rPr>
          <w:lang w:val="en-GB"/>
        </w:rPr>
        <w:t>C</w:t>
      </w:r>
      <w:r>
        <w:rPr>
          <w:lang w:val="en-GB"/>
        </w:rPr>
        <w:t>hild</w:t>
      </w:r>
      <w:r w:rsidR="00EC1D4F">
        <w:rPr>
          <w:lang w:val="en-GB"/>
        </w:rPr>
        <w:t xml:space="preserve"> </w:t>
      </w:r>
      <w:r w:rsidR="005F3A2D">
        <w:rPr>
          <w:lang w:val="en-GB"/>
        </w:rPr>
        <w:t>C</w:t>
      </w:r>
      <w:r>
        <w:rPr>
          <w:lang w:val="en-GB"/>
        </w:rPr>
        <w:t xml:space="preserve">are </w:t>
      </w:r>
      <w:r w:rsidR="005F3A2D">
        <w:rPr>
          <w:lang w:val="en-GB"/>
        </w:rPr>
        <w:t>S</w:t>
      </w:r>
      <w:r>
        <w:rPr>
          <w:lang w:val="en-GB"/>
        </w:rPr>
        <w:t>ubsidy</w:t>
      </w:r>
      <w:r w:rsidR="006A2F98">
        <w:rPr>
          <w:lang w:val="en-GB"/>
        </w:rPr>
        <w:t xml:space="preserve"> </w:t>
      </w:r>
      <w:r>
        <w:rPr>
          <w:lang w:val="en-GB"/>
        </w:rPr>
        <w:t>(C</w:t>
      </w:r>
      <w:r w:rsidR="005D5526">
        <w:rPr>
          <w:lang w:val="en-GB"/>
        </w:rPr>
        <w:t>C</w:t>
      </w:r>
      <w:r>
        <w:rPr>
          <w:lang w:val="en-GB"/>
        </w:rPr>
        <w:t xml:space="preserve">S) </w:t>
      </w:r>
      <w:r w:rsidR="003713E1">
        <w:rPr>
          <w:lang w:val="en-GB"/>
        </w:rPr>
        <w:t>rate will increase from 85% to 90% for</w:t>
      </w:r>
      <w:r w:rsidR="00CA0C7D">
        <w:rPr>
          <w:lang w:val="en-GB"/>
        </w:rPr>
        <w:t xml:space="preserve"> </w:t>
      </w:r>
      <w:r w:rsidR="00CA0C7D" w:rsidRPr="00CA0C7D">
        <w:rPr>
          <w:lang w:val="en-GB"/>
        </w:rPr>
        <w:t>families</w:t>
      </w:r>
      <w:r w:rsidR="00CA0C7D">
        <w:rPr>
          <w:lang w:val="en-GB"/>
        </w:rPr>
        <w:t xml:space="preserve"> </w:t>
      </w:r>
      <w:r w:rsidR="00CA0C7D" w:rsidRPr="00CA0C7D">
        <w:rPr>
          <w:lang w:val="en-GB"/>
        </w:rPr>
        <w:t>earning less than $80,000. Subsidy rates will</w:t>
      </w:r>
      <w:r w:rsidR="00CA0C7D">
        <w:rPr>
          <w:lang w:val="en-GB"/>
        </w:rPr>
        <w:t xml:space="preserve"> </w:t>
      </w:r>
      <w:r w:rsidR="00CA0C7D" w:rsidRPr="00CA0C7D">
        <w:rPr>
          <w:lang w:val="en-GB"/>
        </w:rPr>
        <w:t>then taper down one percentage point for each</w:t>
      </w:r>
      <w:r w:rsidR="00CA0C7D">
        <w:rPr>
          <w:lang w:val="en-GB"/>
        </w:rPr>
        <w:t xml:space="preserve"> </w:t>
      </w:r>
      <w:r w:rsidR="00CA0C7D" w:rsidRPr="00CA0C7D">
        <w:rPr>
          <w:lang w:val="en-GB"/>
        </w:rPr>
        <w:t>additional $5,000 in income until it reaches</w:t>
      </w:r>
      <w:r w:rsidR="00CA0C7D">
        <w:rPr>
          <w:lang w:val="en-GB"/>
        </w:rPr>
        <w:t xml:space="preserve"> </w:t>
      </w:r>
      <w:r w:rsidR="00CA0C7D" w:rsidRPr="00CA0C7D">
        <w:rPr>
          <w:lang w:val="en-GB"/>
        </w:rPr>
        <w:t>zero per cent for families earning $530,000.</w:t>
      </w:r>
    </w:p>
    <w:p w14:paraId="3082808E" w14:textId="50911CF2" w:rsidR="008A27B3" w:rsidRDefault="008A27B3" w:rsidP="00CA0C7D">
      <w:pPr>
        <w:rPr>
          <w:lang w:val="en-GB"/>
        </w:rPr>
      </w:pPr>
    </w:p>
    <w:p w14:paraId="673FDC2F" w14:textId="369507DF" w:rsidR="003713E1" w:rsidRDefault="003713E1" w:rsidP="003713E1">
      <w:pPr>
        <w:rPr>
          <w:lang w:val="en-GB"/>
        </w:rPr>
      </w:pPr>
      <w:r>
        <w:rPr>
          <w:lang w:val="en-GB"/>
        </w:rPr>
        <w:t xml:space="preserve">The </w:t>
      </w:r>
      <w:r w:rsidRPr="003713E1">
        <w:rPr>
          <w:lang w:val="en-GB"/>
        </w:rPr>
        <w:t>current higher CCS rates for families with multiple children aged 5 or under in</w:t>
      </w:r>
      <w:r>
        <w:rPr>
          <w:lang w:val="en-GB"/>
        </w:rPr>
        <w:t xml:space="preserve"> </w:t>
      </w:r>
      <w:r w:rsidRPr="003713E1">
        <w:rPr>
          <w:lang w:val="en-GB"/>
        </w:rPr>
        <w:t>child care</w:t>
      </w:r>
      <w:r>
        <w:rPr>
          <w:lang w:val="en-GB"/>
        </w:rPr>
        <w:t xml:space="preserve"> will be maintained</w:t>
      </w:r>
      <w:r w:rsidRPr="003713E1">
        <w:rPr>
          <w:lang w:val="en-GB"/>
        </w:rPr>
        <w:t>, with higher CCS rates to cease 26 weeks after the older child’s last session of</w:t>
      </w:r>
      <w:r>
        <w:rPr>
          <w:lang w:val="en-GB"/>
        </w:rPr>
        <w:t xml:space="preserve"> </w:t>
      </w:r>
      <w:r w:rsidRPr="003713E1">
        <w:rPr>
          <w:lang w:val="en-GB"/>
        </w:rPr>
        <w:t>care, or when the child turns 6 years old</w:t>
      </w:r>
      <w:r>
        <w:rPr>
          <w:lang w:val="en-GB"/>
        </w:rPr>
        <w:t>.</w:t>
      </w:r>
    </w:p>
    <w:p w14:paraId="0E5BCB49" w14:textId="74D06866" w:rsidR="00D00DF6" w:rsidRDefault="00D00DF6" w:rsidP="003713E1">
      <w:pPr>
        <w:rPr>
          <w:lang w:val="en-GB"/>
        </w:rPr>
      </w:pPr>
    </w:p>
    <w:p w14:paraId="7A421500" w14:textId="7A2914E7" w:rsidR="00D00DF6" w:rsidRDefault="00D00DF6" w:rsidP="00D00DF6">
      <w:pPr>
        <w:rPr>
          <w:lang w:val="en-GB"/>
        </w:rPr>
      </w:pPr>
      <w:r>
        <w:rPr>
          <w:lang w:val="en-GB"/>
        </w:rPr>
        <w:t xml:space="preserve">In addition, </w:t>
      </w:r>
      <w:r w:rsidR="00EC1D4F">
        <w:rPr>
          <w:lang w:val="en-GB"/>
        </w:rPr>
        <w:t xml:space="preserve">from 2022-23, </w:t>
      </w:r>
      <w:r w:rsidRPr="00D00DF6">
        <w:rPr>
          <w:lang w:val="en-GB"/>
        </w:rPr>
        <w:t>a base entitlement to 36 hours per</w:t>
      </w:r>
      <w:r>
        <w:rPr>
          <w:lang w:val="en-GB"/>
        </w:rPr>
        <w:t xml:space="preserve"> </w:t>
      </w:r>
      <w:r w:rsidRPr="00D00DF6">
        <w:rPr>
          <w:lang w:val="en-GB"/>
        </w:rPr>
        <w:t xml:space="preserve">fortnight of subsidised early childhood education and care </w:t>
      </w:r>
      <w:r>
        <w:rPr>
          <w:lang w:val="en-GB"/>
        </w:rPr>
        <w:t xml:space="preserve">will be implemented </w:t>
      </w:r>
      <w:r w:rsidRPr="00D00DF6">
        <w:rPr>
          <w:lang w:val="en-GB"/>
        </w:rPr>
        <w:t>for families with First</w:t>
      </w:r>
      <w:r>
        <w:rPr>
          <w:lang w:val="en-GB"/>
        </w:rPr>
        <w:t xml:space="preserve"> </w:t>
      </w:r>
      <w:r w:rsidRPr="00D00DF6">
        <w:rPr>
          <w:lang w:val="en-GB"/>
        </w:rPr>
        <w:t>Nations children, regardless of activity hours or income level</w:t>
      </w:r>
      <w:r>
        <w:rPr>
          <w:lang w:val="en-GB"/>
        </w:rPr>
        <w:t>.</w:t>
      </w:r>
    </w:p>
    <w:p w14:paraId="1513DDED" w14:textId="515ABCBE" w:rsidR="00EC1D4F" w:rsidRDefault="00EC1D4F" w:rsidP="00D00DF6">
      <w:pPr>
        <w:rPr>
          <w:lang w:val="en-GB"/>
        </w:rPr>
      </w:pPr>
    </w:p>
    <w:p w14:paraId="2107968C" w14:textId="2F8AAD83" w:rsidR="00EC1D4F" w:rsidRDefault="00EC1D4F" w:rsidP="001131D0">
      <w:pPr>
        <w:rPr>
          <w:lang w:val="en-GB"/>
        </w:rPr>
      </w:pPr>
      <w:r>
        <w:rPr>
          <w:lang w:val="en-GB"/>
        </w:rPr>
        <w:t>The C</w:t>
      </w:r>
      <w:r w:rsidR="000709E8">
        <w:rPr>
          <w:lang w:val="en-GB"/>
        </w:rPr>
        <w:t>C</w:t>
      </w:r>
      <w:r>
        <w:rPr>
          <w:lang w:val="en-GB"/>
        </w:rPr>
        <w:t>S increase also comes with a renewed focus on industry compliance requiring large providers to publicly report C</w:t>
      </w:r>
      <w:r w:rsidR="000709E8">
        <w:rPr>
          <w:lang w:val="en-GB"/>
        </w:rPr>
        <w:t>C</w:t>
      </w:r>
      <w:r>
        <w:rPr>
          <w:lang w:val="en-GB"/>
        </w:rPr>
        <w:t xml:space="preserve">S related revenue and profits. </w:t>
      </w:r>
      <w:r w:rsidR="001131D0">
        <w:rPr>
          <w:lang w:val="en-GB"/>
        </w:rPr>
        <w:t xml:space="preserve">In addition, the way the </w:t>
      </w:r>
      <w:r w:rsidR="000709E8">
        <w:rPr>
          <w:lang w:val="en-GB"/>
        </w:rPr>
        <w:t>C</w:t>
      </w:r>
      <w:r w:rsidR="001131D0">
        <w:rPr>
          <w:lang w:val="en-GB"/>
        </w:rPr>
        <w:t xml:space="preserve">hild </w:t>
      </w:r>
      <w:r w:rsidR="000709E8">
        <w:rPr>
          <w:lang w:val="en-GB"/>
        </w:rPr>
        <w:t>C</w:t>
      </w:r>
      <w:r w:rsidR="001131D0">
        <w:rPr>
          <w:lang w:val="en-GB"/>
        </w:rPr>
        <w:t xml:space="preserve">are </w:t>
      </w:r>
      <w:r w:rsidR="000709E8">
        <w:rPr>
          <w:lang w:val="en-GB"/>
        </w:rPr>
        <w:t>S</w:t>
      </w:r>
      <w:r w:rsidR="001131D0">
        <w:rPr>
          <w:lang w:val="en-GB"/>
        </w:rPr>
        <w:t xml:space="preserve">ubsidy is managed </w:t>
      </w:r>
      <w:r w:rsidR="00282446">
        <w:rPr>
          <w:lang w:val="en-GB"/>
        </w:rPr>
        <w:t>will change</w:t>
      </w:r>
      <w:r w:rsidR="000709E8">
        <w:rPr>
          <w:lang w:val="en-GB"/>
        </w:rPr>
        <w:t>,</w:t>
      </w:r>
      <w:r w:rsidR="00282446">
        <w:rPr>
          <w:lang w:val="en-GB"/>
        </w:rPr>
        <w:t xml:space="preserve"> </w:t>
      </w:r>
      <w:r w:rsidR="001131D0">
        <w:rPr>
          <w:lang w:val="en-GB"/>
        </w:rPr>
        <w:t xml:space="preserve">requiring the </w:t>
      </w:r>
      <w:r w:rsidR="001131D0" w:rsidRPr="001131D0">
        <w:rPr>
          <w:lang w:val="en-GB"/>
        </w:rPr>
        <w:t>electronic payment of early childhood</w:t>
      </w:r>
      <w:r w:rsidR="001131D0">
        <w:rPr>
          <w:lang w:val="en-GB"/>
        </w:rPr>
        <w:t xml:space="preserve"> </w:t>
      </w:r>
      <w:r w:rsidR="001131D0" w:rsidRPr="001131D0">
        <w:rPr>
          <w:lang w:val="en-GB"/>
        </w:rPr>
        <w:t>education and care gap fees</w:t>
      </w:r>
      <w:r w:rsidR="00282446">
        <w:rPr>
          <w:lang w:val="en-GB"/>
        </w:rPr>
        <w:t xml:space="preserve"> to weed out fraudulent claims for care not received.</w:t>
      </w:r>
    </w:p>
    <w:p w14:paraId="564E8A78" w14:textId="77777777" w:rsidR="00763EE3" w:rsidRDefault="00763EE3" w:rsidP="00763EE3">
      <w:pPr>
        <w:rPr>
          <w:lang w:val="en-GB"/>
        </w:rPr>
      </w:pPr>
    </w:p>
    <w:tbl>
      <w:tblPr>
        <w:tblStyle w:val="TableContemporary"/>
        <w:tblW w:w="0" w:type="auto"/>
        <w:tblLook w:val="0400" w:firstRow="0" w:lastRow="0" w:firstColumn="0" w:lastColumn="0" w:noHBand="0" w:noVBand="1"/>
      </w:tblPr>
      <w:tblGrid>
        <w:gridCol w:w="4171"/>
      </w:tblGrid>
      <w:tr w:rsidR="00763EE3" w14:paraId="7E75F2DE" w14:textId="77777777" w:rsidTr="00E90C85">
        <w:trPr>
          <w:cnfStyle w:val="000000100000" w:firstRow="0" w:lastRow="0" w:firstColumn="0" w:lastColumn="0" w:oddVBand="0" w:evenVBand="0" w:oddHBand="1" w:evenHBand="0" w:firstRowFirstColumn="0" w:firstRowLastColumn="0" w:lastRowFirstColumn="0" w:lastRowLastColumn="0"/>
        </w:trPr>
        <w:tc>
          <w:tcPr>
            <w:tcW w:w="4172" w:type="dxa"/>
          </w:tcPr>
          <w:p w14:paraId="1E22EF58" w14:textId="77777777" w:rsidR="00763EE3" w:rsidRPr="007971DC" w:rsidRDefault="00763EE3" w:rsidP="00E90C85">
            <w:pPr>
              <w:rPr>
                <w:b/>
                <w:bCs/>
                <w:sz w:val="13"/>
                <w:szCs w:val="13"/>
              </w:rPr>
            </w:pPr>
          </w:p>
          <w:p w14:paraId="3D44BCF7" w14:textId="77777777" w:rsidR="00763EE3" w:rsidRPr="007B1998" w:rsidRDefault="00763EE3" w:rsidP="00E90C85">
            <w:pPr>
              <w:rPr>
                <w:b/>
                <w:bCs/>
                <w:sz w:val="20"/>
              </w:rPr>
            </w:pPr>
            <w:r w:rsidRPr="007B1998">
              <w:rPr>
                <w:b/>
                <w:bCs/>
                <w:sz w:val="20"/>
              </w:rPr>
              <w:t>Resources</w:t>
            </w:r>
          </w:p>
          <w:p w14:paraId="388AF7BF" w14:textId="77777777" w:rsidR="00DF5BCB" w:rsidRDefault="00414014" w:rsidP="00763EE3">
            <w:pPr>
              <w:pStyle w:val="ListParagraph"/>
            </w:pPr>
            <w:hyperlink r:id="rId14" w:history="1">
              <w:r w:rsidR="00DF5BCB" w:rsidRPr="00DF5BCB">
                <w:rPr>
                  <w:rStyle w:val="Hyperlink"/>
                  <w:rFonts w:ascii="Calibri" w:hAnsi="Calibri"/>
                  <w:sz w:val="20"/>
                </w:rPr>
                <w:t>Fact sheet</w:t>
              </w:r>
            </w:hyperlink>
          </w:p>
          <w:p w14:paraId="111219D6" w14:textId="02600420" w:rsidR="00CA0C7D" w:rsidRPr="00763EE3" w:rsidRDefault="00CA0C7D" w:rsidP="005F5E60">
            <w:pPr>
              <w:pStyle w:val="ListParagraph"/>
              <w:numPr>
                <w:ilvl w:val="0"/>
                <w:numId w:val="0"/>
              </w:numPr>
              <w:ind w:left="720"/>
            </w:pPr>
          </w:p>
        </w:tc>
      </w:tr>
    </w:tbl>
    <w:p w14:paraId="46B7E28A" w14:textId="77777777" w:rsidR="005F5E60" w:rsidRDefault="005F5E60" w:rsidP="00EE6CFF">
      <w:pPr>
        <w:pStyle w:val="Heading2"/>
        <w:spacing w:before="0"/>
        <w:rPr>
          <w:lang w:val="en-GB"/>
        </w:rPr>
      </w:pPr>
    </w:p>
    <w:p w14:paraId="5C5402C6" w14:textId="177AA6FF" w:rsidR="00074A89" w:rsidRDefault="005F5E60" w:rsidP="00EE6CFF">
      <w:pPr>
        <w:pStyle w:val="Heading2"/>
        <w:spacing w:before="0"/>
        <w:rPr>
          <w:lang w:val="en-GB"/>
        </w:rPr>
      </w:pPr>
      <w:r>
        <w:rPr>
          <w:lang w:val="en-GB"/>
        </w:rPr>
        <w:br w:type="column"/>
      </w:r>
      <w:bookmarkStart w:id="7" w:name="_Toc117667169"/>
      <w:r w:rsidR="00074A89">
        <w:rPr>
          <w:lang w:val="en-GB"/>
        </w:rPr>
        <w:t xml:space="preserve">Paid parental leave </w:t>
      </w:r>
      <w:r w:rsidR="005514E7">
        <w:rPr>
          <w:lang w:val="en-GB"/>
        </w:rPr>
        <w:t>reforms</w:t>
      </w:r>
      <w:bookmarkEnd w:id="7"/>
    </w:p>
    <w:tbl>
      <w:tblPr>
        <w:tblStyle w:val="TableContemporary"/>
        <w:tblW w:w="0" w:type="auto"/>
        <w:tblLook w:val="0400" w:firstRow="0" w:lastRow="0" w:firstColumn="0" w:lastColumn="0" w:noHBand="0" w:noVBand="1"/>
      </w:tblPr>
      <w:tblGrid>
        <w:gridCol w:w="988"/>
        <w:gridCol w:w="3183"/>
      </w:tblGrid>
      <w:tr w:rsidR="00074A89" w:rsidRPr="0052217A" w14:paraId="5E06B54D" w14:textId="77777777" w:rsidTr="00E90C85">
        <w:trPr>
          <w:cnfStyle w:val="000000100000" w:firstRow="0" w:lastRow="0" w:firstColumn="0" w:lastColumn="0" w:oddVBand="0" w:evenVBand="0" w:oddHBand="1" w:evenHBand="0" w:firstRowFirstColumn="0" w:firstRowLastColumn="0" w:lastRowFirstColumn="0" w:lastRowLastColumn="0"/>
        </w:trPr>
        <w:tc>
          <w:tcPr>
            <w:tcW w:w="988" w:type="dxa"/>
          </w:tcPr>
          <w:p w14:paraId="08DF98F9" w14:textId="77777777" w:rsidR="00074A89" w:rsidRPr="0052217A" w:rsidRDefault="00074A89" w:rsidP="00E90C85">
            <w:pPr>
              <w:rPr>
                <w:b/>
                <w:bCs/>
                <w:sz w:val="20"/>
              </w:rPr>
            </w:pPr>
            <w:r w:rsidRPr="0052217A">
              <w:rPr>
                <w:b/>
                <w:bCs/>
                <w:sz w:val="20"/>
              </w:rPr>
              <w:t>From</w:t>
            </w:r>
          </w:p>
        </w:tc>
        <w:tc>
          <w:tcPr>
            <w:tcW w:w="3184" w:type="dxa"/>
          </w:tcPr>
          <w:p w14:paraId="54CC361D" w14:textId="77777777" w:rsidR="00074A89" w:rsidRDefault="00074A89" w:rsidP="00E90C85">
            <w:pPr>
              <w:rPr>
                <w:sz w:val="20"/>
              </w:rPr>
            </w:pPr>
            <w:r>
              <w:rPr>
                <w:sz w:val="20"/>
              </w:rPr>
              <w:t>1 July 2023</w:t>
            </w:r>
          </w:p>
          <w:p w14:paraId="04FC4C45" w14:textId="25780084" w:rsidR="00074A89" w:rsidRPr="0052217A" w:rsidRDefault="00074A89" w:rsidP="00E90C85">
            <w:pPr>
              <w:rPr>
                <w:sz w:val="20"/>
              </w:rPr>
            </w:pPr>
            <w:r>
              <w:rPr>
                <w:sz w:val="20"/>
              </w:rPr>
              <w:t>1 July 2024</w:t>
            </w:r>
          </w:p>
        </w:tc>
      </w:tr>
    </w:tbl>
    <w:p w14:paraId="42663AB1" w14:textId="2C79999E" w:rsidR="00074A89" w:rsidRDefault="00074A89" w:rsidP="00074A89">
      <w:pPr>
        <w:rPr>
          <w:lang w:val="en-GB"/>
        </w:rPr>
      </w:pPr>
    </w:p>
    <w:p w14:paraId="32F1A5E5" w14:textId="45E2A82F" w:rsidR="001A4975" w:rsidRDefault="00074A89" w:rsidP="001A4975">
      <w:pPr>
        <w:rPr>
          <w:lang w:val="en-GB"/>
        </w:rPr>
      </w:pPr>
      <w:r>
        <w:rPr>
          <w:lang w:val="en-GB"/>
        </w:rPr>
        <w:t>As previously anno</w:t>
      </w:r>
      <w:r w:rsidR="001A4975">
        <w:rPr>
          <w:lang w:val="en-GB"/>
        </w:rPr>
        <w:t xml:space="preserve">unced, </w:t>
      </w:r>
      <w:r w:rsidR="001616BC" w:rsidRPr="001A4975">
        <w:rPr>
          <w:lang w:val="en-GB"/>
        </w:rPr>
        <w:t xml:space="preserve">from 1 July 2023 </w:t>
      </w:r>
      <w:r w:rsidR="001A4975">
        <w:rPr>
          <w:lang w:val="en-GB"/>
        </w:rPr>
        <w:t>t</w:t>
      </w:r>
      <w:r w:rsidR="001A4975" w:rsidRPr="001A4975">
        <w:rPr>
          <w:lang w:val="en-GB"/>
        </w:rPr>
        <w:t>he Government will introduce reforms to make the Paid</w:t>
      </w:r>
      <w:r w:rsidR="001A4975">
        <w:rPr>
          <w:lang w:val="en-GB"/>
        </w:rPr>
        <w:t xml:space="preserve"> </w:t>
      </w:r>
      <w:r w:rsidR="001A4975" w:rsidRPr="001A4975">
        <w:rPr>
          <w:lang w:val="en-GB"/>
        </w:rPr>
        <w:t>Parental Leave</w:t>
      </w:r>
      <w:r w:rsidR="001A4975">
        <w:rPr>
          <w:lang w:val="en-GB"/>
        </w:rPr>
        <w:t xml:space="preserve"> </w:t>
      </w:r>
      <w:r w:rsidR="001A4975" w:rsidRPr="001A4975">
        <w:rPr>
          <w:lang w:val="en-GB"/>
        </w:rPr>
        <w:t>Scheme flexible for families so that either parent is able to claim the payment and both</w:t>
      </w:r>
      <w:r w:rsidR="001A4975">
        <w:rPr>
          <w:lang w:val="en-GB"/>
        </w:rPr>
        <w:t xml:space="preserve"> </w:t>
      </w:r>
      <w:r w:rsidR="001A4975" w:rsidRPr="001A4975">
        <w:rPr>
          <w:lang w:val="en-GB"/>
        </w:rPr>
        <w:t>birth parents and non-birth parents are allowed to receive the payment if they meet the</w:t>
      </w:r>
      <w:r w:rsidR="001A4975">
        <w:rPr>
          <w:lang w:val="en-GB"/>
        </w:rPr>
        <w:t xml:space="preserve"> </w:t>
      </w:r>
      <w:r w:rsidR="001A4975" w:rsidRPr="001A4975">
        <w:rPr>
          <w:lang w:val="en-GB"/>
        </w:rPr>
        <w:t>eligibility criteria.</w:t>
      </w:r>
      <w:r w:rsidR="001A4975">
        <w:rPr>
          <w:lang w:val="en-GB"/>
        </w:rPr>
        <w:t xml:space="preserve"> </w:t>
      </w:r>
      <w:r w:rsidR="001A4975" w:rsidRPr="001A4975">
        <w:rPr>
          <w:lang w:val="en-GB"/>
        </w:rPr>
        <w:t>Parents will also be able to claim weeks of the payment concurrently so</w:t>
      </w:r>
      <w:r w:rsidR="001A4975">
        <w:rPr>
          <w:lang w:val="en-GB"/>
        </w:rPr>
        <w:t xml:space="preserve"> </w:t>
      </w:r>
      <w:r w:rsidR="001A4975" w:rsidRPr="001A4975">
        <w:rPr>
          <w:lang w:val="en-GB"/>
        </w:rPr>
        <w:t>they can take leave at the same time.</w:t>
      </w:r>
    </w:p>
    <w:p w14:paraId="1175CD1D" w14:textId="6930EF04" w:rsidR="003B68C2" w:rsidRDefault="003B68C2" w:rsidP="001A4975">
      <w:pPr>
        <w:rPr>
          <w:lang w:val="en-GB"/>
        </w:rPr>
      </w:pPr>
    </w:p>
    <w:p w14:paraId="154E6564" w14:textId="0D539522" w:rsidR="003B68C2" w:rsidRDefault="003B68C2" w:rsidP="003B68C2">
      <w:pPr>
        <w:rPr>
          <w:lang w:val="en-GB"/>
        </w:rPr>
      </w:pPr>
      <w:r w:rsidRPr="003B68C2">
        <w:rPr>
          <w:lang w:val="en-GB"/>
        </w:rPr>
        <w:t xml:space="preserve">Eligibility will </w:t>
      </w:r>
      <w:r w:rsidR="001616BC">
        <w:rPr>
          <w:lang w:val="en-GB"/>
        </w:rPr>
        <w:t xml:space="preserve">also </w:t>
      </w:r>
      <w:r w:rsidRPr="003B68C2">
        <w:rPr>
          <w:lang w:val="en-GB"/>
        </w:rPr>
        <w:t xml:space="preserve">be expanded </w:t>
      </w:r>
      <w:r>
        <w:rPr>
          <w:lang w:val="en-GB"/>
        </w:rPr>
        <w:t xml:space="preserve">with the </w:t>
      </w:r>
      <w:r w:rsidRPr="003B68C2">
        <w:rPr>
          <w:lang w:val="en-GB"/>
        </w:rPr>
        <w:t>introduction of a $350,000 family income test,</w:t>
      </w:r>
      <w:r>
        <w:rPr>
          <w:lang w:val="en-GB"/>
        </w:rPr>
        <w:t xml:space="preserve"> </w:t>
      </w:r>
      <w:r w:rsidRPr="003B68C2">
        <w:rPr>
          <w:lang w:val="en-GB"/>
        </w:rPr>
        <w:t>which families can be assessed under if they do</w:t>
      </w:r>
      <w:r>
        <w:rPr>
          <w:lang w:val="en-GB"/>
        </w:rPr>
        <w:t xml:space="preserve"> </w:t>
      </w:r>
      <w:r w:rsidRPr="003B68C2">
        <w:rPr>
          <w:lang w:val="en-GB"/>
        </w:rPr>
        <w:t>not meet the individual income test.</w:t>
      </w:r>
    </w:p>
    <w:p w14:paraId="2ADA7A74" w14:textId="77777777" w:rsidR="001A4975" w:rsidRPr="001A4975" w:rsidRDefault="001A4975" w:rsidP="001A4975">
      <w:pPr>
        <w:rPr>
          <w:lang w:val="en-GB"/>
        </w:rPr>
      </w:pPr>
    </w:p>
    <w:p w14:paraId="3203219F" w14:textId="77777777" w:rsidR="000174C8" w:rsidRDefault="001A4975" w:rsidP="001A4975">
      <w:pPr>
        <w:rPr>
          <w:lang w:val="en-GB"/>
        </w:rPr>
      </w:pPr>
      <w:r w:rsidRPr="001A4975">
        <w:rPr>
          <w:lang w:val="en-GB"/>
        </w:rPr>
        <w:t xml:space="preserve">From 1 July 2024, the Government will </w:t>
      </w:r>
      <w:r>
        <w:rPr>
          <w:lang w:val="en-GB"/>
        </w:rPr>
        <w:t>begin</w:t>
      </w:r>
      <w:r w:rsidRPr="001A4975">
        <w:rPr>
          <w:lang w:val="en-GB"/>
        </w:rPr>
        <w:t xml:space="preserve"> expanding the scheme </w:t>
      </w:r>
      <w:r w:rsidR="00021AAA">
        <w:rPr>
          <w:lang w:val="en-GB"/>
        </w:rPr>
        <w:t xml:space="preserve">from the current 18 weeks </w:t>
      </w:r>
      <w:r w:rsidRPr="001A4975">
        <w:rPr>
          <w:lang w:val="en-GB"/>
        </w:rPr>
        <w:t>by two additional</w:t>
      </w:r>
      <w:r>
        <w:rPr>
          <w:lang w:val="en-GB"/>
        </w:rPr>
        <w:t xml:space="preserve"> </w:t>
      </w:r>
      <w:r w:rsidRPr="001A4975">
        <w:rPr>
          <w:lang w:val="en-GB"/>
        </w:rPr>
        <w:t>weeks a year until it reaches a full 26 weeks from 1 July 2026</w:t>
      </w:r>
      <w:r w:rsidR="00021AAA">
        <w:rPr>
          <w:lang w:val="en-GB"/>
        </w:rPr>
        <w:t xml:space="preserve">. </w:t>
      </w:r>
    </w:p>
    <w:p w14:paraId="00248304" w14:textId="77777777" w:rsidR="000174C8" w:rsidRDefault="000174C8" w:rsidP="001A4975">
      <w:pPr>
        <w:rPr>
          <w:lang w:val="en-GB"/>
        </w:rPr>
      </w:pPr>
    </w:p>
    <w:p w14:paraId="573AD73B" w14:textId="0BDA35F0" w:rsidR="0009100D" w:rsidRDefault="001A4975" w:rsidP="00CB069D">
      <w:pPr>
        <w:rPr>
          <w:lang w:val="en-GB"/>
        </w:rPr>
      </w:pPr>
      <w:r w:rsidRPr="001A4975">
        <w:rPr>
          <w:lang w:val="en-GB"/>
        </w:rPr>
        <w:t>Both parents will be able to share the leave entitlement, with a proportion maintained on a</w:t>
      </w:r>
      <w:r>
        <w:rPr>
          <w:lang w:val="en-GB"/>
        </w:rPr>
        <w:t xml:space="preserve"> </w:t>
      </w:r>
      <w:r w:rsidRPr="001A4975">
        <w:rPr>
          <w:lang w:val="en-GB"/>
        </w:rPr>
        <w:t>“use it or lose it” basis, to encourage and facilitate both parents to access the scheme and to</w:t>
      </w:r>
      <w:r>
        <w:rPr>
          <w:lang w:val="en-GB"/>
        </w:rPr>
        <w:t xml:space="preserve"> </w:t>
      </w:r>
      <w:r w:rsidRPr="001A4975">
        <w:rPr>
          <w:lang w:val="en-GB"/>
        </w:rPr>
        <w:t>share the caring responsibilities more equally. Sole parents will be able to access the full</w:t>
      </w:r>
      <w:r>
        <w:rPr>
          <w:lang w:val="en-GB"/>
        </w:rPr>
        <w:t xml:space="preserve"> </w:t>
      </w:r>
      <w:r w:rsidRPr="001A4975">
        <w:rPr>
          <w:lang w:val="en-GB"/>
        </w:rPr>
        <w:t>26 weeks.</w:t>
      </w:r>
    </w:p>
    <w:p w14:paraId="4D5400B8" w14:textId="7331CEE5" w:rsidR="003939D2" w:rsidRDefault="003939D2" w:rsidP="00CB069D">
      <w:pPr>
        <w:rPr>
          <w:lang w:val="en-GB"/>
        </w:rPr>
      </w:pPr>
    </w:p>
    <w:tbl>
      <w:tblPr>
        <w:tblStyle w:val="TableContemporary"/>
        <w:tblW w:w="0" w:type="auto"/>
        <w:tblLook w:val="0400" w:firstRow="0" w:lastRow="0" w:firstColumn="0" w:lastColumn="0" w:noHBand="0" w:noVBand="1"/>
      </w:tblPr>
      <w:tblGrid>
        <w:gridCol w:w="4171"/>
      </w:tblGrid>
      <w:tr w:rsidR="003939D2" w14:paraId="3F0580A1" w14:textId="77777777" w:rsidTr="00E90C85">
        <w:trPr>
          <w:cnfStyle w:val="000000100000" w:firstRow="0" w:lastRow="0" w:firstColumn="0" w:lastColumn="0" w:oddVBand="0" w:evenVBand="0" w:oddHBand="1" w:evenHBand="0" w:firstRowFirstColumn="0" w:firstRowLastColumn="0" w:lastRowFirstColumn="0" w:lastRowLastColumn="0"/>
        </w:trPr>
        <w:tc>
          <w:tcPr>
            <w:tcW w:w="4172" w:type="dxa"/>
          </w:tcPr>
          <w:p w14:paraId="3963C77F" w14:textId="77777777" w:rsidR="003939D2" w:rsidRPr="007971DC" w:rsidRDefault="003939D2" w:rsidP="00E90C85">
            <w:pPr>
              <w:rPr>
                <w:b/>
                <w:bCs/>
                <w:sz w:val="13"/>
                <w:szCs w:val="13"/>
              </w:rPr>
            </w:pPr>
          </w:p>
          <w:p w14:paraId="43E93239" w14:textId="77777777" w:rsidR="003939D2" w:rsidRPr="007B1998" w:rsidRDefault="003939D2" w:rsidP="00E90C85">
            <w:pPr>
              <w:rPr>
                <w:b/>
                <w:bCs/>
                <w:sz w:val="20"/>
              </w:rPr>
            </w:pPr>
            <w:r w:rsidRPr="007B1998">
              <w:rPr>
                <w:b/>
                <w:bCs/>
                <w:sz w:val="20"/>
              </w:rPr>
              <w:t>Resources</w:t>
            </w:r>
          </w:p>
          <w:p w14:paraId="64387B70" w14:textId="1D85503F" w:rsidR="003939D2" w:rsidRDefault="00414014" w:rsidP="00E90C85">
            <w:pPr>
              <w:pStyle w:val="ListParagraph"/>
            </w:pPr>
            <w:hyperlink r:id="rId15" w:history="1">
              <w:r w:rsidR="003939D2" w:rsidRPr="00DF5BCB">
                <w:rPr>
                  <w:rStyle w:val="Hyperlink"/>
                  <w:rFonts w:ascii="Calibri" w:hAnsi="Calibri"/>
                  <w:sz w:val="20"/>
                </w:rPr>
                <w:t>Fact sheet</w:t>
              </w:r>
            </w:hyperlink>
          </w:p>
          <w:p w14:paraId="05CA5AAE" w14:textId="77777777" w:rsidR="003939D2" w:rsidRPr="00763EE3" w:rsidRDefault="003939D2" w:rsidP="003939D2">
            <w:pPr>
              <w:pStyle w:val="ListParagraph"/>
              <w:numPr>
                <w:ilvl w:val="0"/>
                <w:numId w:val="0"/>
              </w:numPr>
              <w:ind w:left="720"/>
            </w:pPr>
          </w:p>
        </w:tc>
      </w:tr>
    </w:tbl>
    <w:p w14:paraId="58DB0C0B" w14:textId="77777777" w:rsidR="003939D2" w:rsidRDefault="003939D2" w:rsidP="00CB069D">
      <w:pPr>
        <w:rPr>
          <w:lang w:val="en-GB"/>
        </w:rPr>
      </w:pPr>
    </w:p>
    <w:p w14:paraId="66F689B5" w14:textId="214D2F2D" w:rsidR="0009100D" w:rsidRDefault="0009100D" w:rsidP="0009100D">
      <w:pPr>
        <w:pStyle w:val="Heading2"/>
        <w:rPr>
          <w:lang w:val="en-GB"/>
        </w:rPr>
      </w:pPr>
      <w:bookmarkStart w:id="8" w:name="_Toc117667170"/>
      <w:r>
        <w:rPr>
          <w:lang w:val="en-GB"/>
        </w:rPr>
        <w:lastRenderedPageBreak/>
        <w:t>Encouraging pensioners back into the workforce</w:t>
      </w:r>
      <w:bookmarkEnd w:id="8"/>
    </w:p>
    <w:tbl>
      <w:tblPr>
        <w:tblStyle w:val="TableContemporary"/>
        <w:tblW w:w="0" w:type="auto"/>
        <w:tblLook w:val="0400" w:firstRow="0" w:lastRow="0" w:firstColumn="0" w:lastColumn="0" w:noHBand="0" w:noVBand="1"/>
      </w:tblPr>
      <w:tblGrid>
        <w:gridCol w:w="988"/>
        <w:gridCol w:w="3183"/>
      </w:tblGrid>
      <w:tr w:rsidR="006D2C68" w:rsidRPr="0052217A" w14:paraId="024E4AE6" w14:textId="77777777" w:rsidTr="00E90C85">
        <w:trPr>
          <w:cnfStyle w:val="000000100000" w:firstRow="0" w:lastRow="0" w:firstColumn="0" w:lastColumn="0" w:oddVBand="0" w:evenVBand="0" w:oddHBand="1" w:evenHBand="0" w:firstRowFirstColumn="0" w:firstRowLastColumn="0" w:lastRowFirstColumn="0" w:lastRowLastColumn="0"/>
        </w:trPr>
        <w:tc>
          <w:tcPr>
            <w:tcW w:w="988" w:type="dxa"/>
          </w:tcPr>
          <w:p w14:paraId="03B8F808" w14:textId="77777777" w:rsidR="006D2C68" w:rsidRPr="0052217A" w:rsidRDefault="006D2C68" w:rsidP="00E90C85">
            <w:pPr>
              <w:rPr>
                <w:b/>
                <w:bCs/>
                <w:sz w:val="20"/>
              </w:rPr>
            </w:pPr>
            <w:r w:rsidRPr="0052217A">
              <w:rPr>
                <w:b/>
                <w:bCs/>
                <w:sz w:val="20"/>
              </w:rPr>
              <w:t>From</w:t>
            </w:r>
          </w:p>
        </w:tc>
        <w:tc>
          <w:tcPr>
            <w:tcW w:w="3184" w:type="dxa"/>
          </w:tcPr>
          <w:p w14:paraId="6A0FFC48" w14:textId="77777777" w:rsidR="006D2C68" w:rsidRPr="0052217A" w:rsidRDefault="006D2C68" w:rsidP="00E90C85">
            <w:pPr>
              <w:rPr>
                <w:sz w:val="20"/>
              </w:rPr>
            </w:pPr>
            <w:r>
              <w:rPr>
                <w:sz w:val="20"/>
              </w:rPr>
              <w:t>2022-23</w:t>
            </w:r>
          </w:p>
        </w:tc>
      </w:tr>
    </w:tbl>
    <w:p w14:paraId="109C0CE2" w14:textId="77777777" w:rsidR="006D2C68" w:rsidRPr="002D4B40" w:rsidRDefault="006D2C68" w:rsidP="006D2C68"/>
    <w:p w14:paraId="36939647" w14:textId="01C99733" w:rsidR="006D2C68" w:rsidRDefault="005920C3" w:rsidP="005920C3">
      <w:pPr>
        <w:rPr>
          <w:lang w:val="en-GB"/>
        </w:rPr>
      </w:pPr>
      <w:r>
        <w:rPr>
          <w:lang w:val="en-GB"/>
        </w:rPr>
        <w:t xml:space="preserve">Age and veterans pensioners will be able to </w:t>
      </w:r>
      <w:r w:rsidR="00DF5BCB">
        <w:rPr>
          <w:lang w:val="en-GB"/>
        </w:rPr>
        <w:t>work and earn more before their pension is reduced</w:t>
      </w:r>
      <w:r w:rsidR="006D2C68">
        <w:rPr>
          <w:lang w:val="en-GB"/>
        </w:rPr>
        <w:t xml:space="preserve">. </w:t>
      </w:r>
      <w:r w:rsidR="00A13E6F">
        <w:rPr>
          <w:lang w:val="en-GB"/>
        </w:rPr>
        <w:t xml:space="preserve"> </w:t>
      </w:r>
      <w:r w:rsidR="006D2C68">
        <w:rPr>
          <w:lang w:val="en-GB"/>
        </w:rPr>
        <w:t xml:space="preserve">The Government is providing a </w:t>
      </w:r>
      <w:r w:rsidR="00DF5BCB">
        <w:rPr>
          <w:lang w:val="en-GB"/>
        </w:rPr>
        <w:t xml:space="preserve">one-off $4,000 </w:t>
      </w:r>
      <w:r w:rsidR="006D2C68">
        <w:rPr>
          <w:lang w:val="en-GB"/>
        </w:rPr>
        <w:t xml:space="preserve">credit to their </w:t>
      </w:r>
      <w:hyperlink r:id="rId16" w:history="1">
        <w:r w:rsidR="006D2C68" w:rsidRPr="00A13E6F">
          <w:rPr>
            <w:rStyle w:val="Hyperlink"/>
            <w:lang w:val="en-GB"/>
          </w:rPr>
          <w:t>Work Bonus</w:t>
        </w:r>
      </w:hyperlink>
      <w:r w:rsidR="006D2C68">
        <w:rPr>
          <w:lang w:val="en-GB"/>
        </w:rPr>
        <w:t xml:space="preserve"> income bank. </w:t>
      </w:r>
    </w:p>
    <w:p w14:paraId="0C5BF049" w14:textId="3246B955" w:rsidR="006D2C68" w:rsidRDefault="006D2C68" w:rsidP="005920C3">
      <w:pPr>
        <w:rPr>
          <w:lang w:val="en-GB"/>
        </w:rPr>
      </w:pPr>
    </w:p>
    <w:p w14:paraId="5E40ADE5" w14:textId="344F2570" w:rsidR="006D2C68" w:rsidRDefault="006D2C68" w:rsidP="006D2C68">
      <w:pPr>
        <w:rPr>
          <w:lang w:val="en-GB"/>
        </w:rPr>
      </w:pPr>
      <w:r w:rsidRPr="006D2C68">
        <w:rPr>
          <w:lang w:val="en-GB"/>
        </w:rPr>
        <w:t>The temporary income bank top</w:t>
      </w:r>
      <w:r w:rsidR="00982FD5">
        <w:rPr>
          <w:lang w:val="en-GB"/>
        </w:rPr>
        <w:t>-</w:t>
      </w:r>
      <w:r w:rsidRPr="006D2C68">
        <w:rPr>
          <w:lang w:val="en-GB"/>
        </w:rPr>
        <w:t>up will increase the amount pensioners can earn in</w:t>
      </w:r>
      <w:r>
        <w:rPr>
          <w:lang w:val="en-GB"/>
        </w:rPr>
        <w:t xml:space="preserve"> </w:t>
      </w:r>
      <w:r w:rsidRPr="006D2C68">
        <w:rPr>
          <w:lang w:val="en-GB"/>
        </w:rPr>
        <w:t>2022–23 from $7,800 to $11,800, before their pension is reduced, supporting pensioners</w:t>
      </w:r>
      <w:r>
        <w:rPr>
          <w:lang w:val="en-GB"/>
        </w:rPr>
        <w:t xml:space="preserve"> </w:t>
      </w:r>
      <w:r w:rsidRPr="006D2C68">
        <w:rPr>
          <w:lang w:val="en-GB"/>
        </w:rPr>
        <w:t>who want to work or work more hours to do so without losing their pension.</w:t>
      </w:r>
    </w:p>
    <w:p w14:paraId="6B2B93BC" w14:textId="77777777" w:rsidR="006D2C68" w:rsidRDefault="006D2C68" w:rsidP="005920C3">
      <w:pPr>
        <w:rPr>
          <w:lang w:val="en-GB"/>
        </w:rPr>
      </w:pPr>
    </w:p>
    <w:p w14:paraId="38E9CD7E" w14:textId="08AF4405" w:rsidR="00B71F49" w:rsidRDefault="006D2C68" w:rsidP="005920C3">
      <w:pPr>
        <w:rPr>
          <w:lang w:val="en-GB"/>
        </w:rPr>
      </w:pPr>
      <w:r>
        <w:rPr>
          <w:lang w:val="en-GB"/>
        </w:rPr>
        <w:t xml:space="preserve">The Work Bonus </w:t>
      </w:r>
      <w:r w:rsidRPr="006D2C68">
        <w:rPr>
          <w:lang w:val="en-GB"/>
        </w:rPr>
        <w:t xml:space="preserve">increases the amount an eligible pensioner can earn from work before it affects their pension rate. </w:t>
      </w:r>
      <w:r>
        <w:rPr>
          <w:lang w:val="en-GB"/>
        </w:rPr>
        <w:t>Under the current rules, t</w:t>
      </w:r>
      <w:r w:rsidRPr="006D2C68">
        <w:rPr>
          <w:lang w:val="en-GB"/>
        </w:rPr>
        <w:t>he first $300 of fortnightly income from work is not assessed and is not counted under the pension income test.</w:t>
      </w:r>
      <w:r>
        <w:rPr>
          <w:lang w:val="en-GB"/>
        </w:rPr>
        <w:t xml:space="preserve"> </w:t>
      </w:r>
      <w:r w:rsidRPr="006D2C68">
        <w:rPr>
          <w:lang w:val="en-GB"/>
        </w:rPr>
        <w:t>The Work Bonus operates in addition to the pension income test free area.</w:t>
      </w:r>
    </w:p>
    <w:p w14:paraId="46D12B6A" w14:textId="53CAC94B" w:rsidR="00DC3D9D" w:rsidRDefault="00DC3D9D" w:rsidP="005920C3">
      <w:pPr>
        <w:rPr>
          <w:lang w:val="en-GB"/>
        </w:rPr>
      </w:pPr>
    </w:p>
    <w:p w14:paraId="25991711" w14:textId="6D756F05" w:rsidR="00DC3D9D" w:rsidRPr="006D2C68" w:rsidRDefault="00DC3D9D" w:rsidP="005920C3">
      <w:pPr>
        <w:rPr>
          <w:lang w:val="en-GB"/>
        </w:rPr>
      </w:pPr>
      <w:r w:rsidRPr="00DC3D9D">
        <w:rPr>
          <w:lang w:val="en-GB"/>
        </w:rPr>
        <w:t>When the work bonus is not used in a fortnight it accumulates in an income bank where the standard maximum is $7,800. This allows pensioners who work on an ad hoc basis to not be disadvantaged compared to those with regular fortnightly income.</w:t>
      </w:r>
    </w:p>
    <w:p w14:paraId="7BB3D789" w14:textId="169C3E85" w:rsidR="000F12CA" w:rsidRDefault="00E35FBB" w:rsidP="002D4B40">
      <w:pPr>
        <w:pStyle w:val="Heading2"/>
      </w:pPr>
      <w:bookmarkStart w:id="9" w:name="_Toc117667171"/>
      <w:bookmarkStart w:id="10" w:name="_Toc71694157"/>
      <w:r>
        <w:t>Aged care reform</w:t>
      </w:r>
      <w:bookmarkEnd w:id="9"/>
    </w:p>
    <w:p w14:paraId="7D144792" w14:textId="6BD009DB" w:rsidR="002C1664" w:rsidRDefault="00705392" w:rsidP="001B14AC">
      <w:r>
        <w:t xml:space="preserve">As previously announced, </w:t>
      </w:r>
      <w:r w:rsidR="000F12CA">
        <w:t xml:space="preserve">$2.5bn will be provided over 4 years to </w:t>
      </w:r>
      <w:r w:rsidR="001B14AC">
        <w:t>improve the quality of aged care in residential aged care facilities by requiring all facilities to have a registered nurse onsite 24 hours per day, 7 days a week from 1 July 2023 and increasing care minutes to 215 minutes per resident per day from 1</w:t>
      </w:r>
      <w:r w:rsidR="00905A35">
        <w:t> </w:t>
      </w:r>
      <w:r w:rsidR="001B14AC">
        <w:t>October 2024.</w:t>
      </w:r>
    </w:p>
    <w:p w14:paraId="05ECC3F2" w14:textId="4BA85D0D" w:rsidR="00BD598A" w:rsidRDefault="00BD598A" w:rsidP="001B14AC"/>
    <w:p w14:paraId="03361A48" w14:textId="5FC55530" w:rsidR="00A13E6F" w:rsidRPr="005F5E60" w:rsidRDefault="00BD598A" w:rsidP="002C1664">
      <w:r>
        <w:t xml:space="preserve">The reforms also </w:t>
      </w:r>
      <w:r w:rsidRPr="00BD598A">
        <w:t xml:space="preserve">enable the Government to cap charges that approved providers of home care </w:t>
      </w:r>
      <w:r w:rsidRPr="00BD598A">
        <w:t>(home care providers) may charge care recipients</w:t>
      </w:r>
      <w:r w:rsidR="00FD6DC5">
        <w:t xml:space="preserve"> a</w:t>
      </w:r>
      <w:r>
        <w:t xml:space="preserve">nd </w:t>
      </w:r>
      <w:r w:rsidRPr="00BD598A">
        <w:t xml:space="preserve">removes the </w:t>
      </w:r>
      <w:r w:rsidR="00FD6DC5">
        <w:t xml:space="preserve">ability of </w:t>
      </w:r>
      <w:r w:rsidRPr="00BD598A">
        <w:t xml:space="preserve">home care providers to charge exit amounts. </w:t>
      </w:r>
    </w:p>
    <w:p w14:paraId="0BF917DB" w14:textId="77777777" w:rsidR="003E60A2" w:rsidRDefault="003E60A2" w:rsidP="003E60A2">
      <w:pPr>
        <w:pStyle w:val="Heading2"/>
      </w:pPr>
      <w:bookmarkStart w:id="11" w:name="_Toc117667172"/>
      <w:r>
        <w:t>Additional funding for floods and natural disasters</w:t>
      </w:r>
      <w:bookmarkEnd w:id="11"/>
    </w:p>
    <w:p w14:paraId="08851AB1" w14:textId="47796C6F" w:rsidR="003E60A2" w:rsidRDefault="003E60A2" w:rsidP="003E60A2">
      <w:r>
        <w:t xml:space="preserve">An additional $51.5m has been provided to support communities impacted by natural disasters through the Australian Government Disaster Recovery Payments (AGDRP), Disaster Recovery Allowance (DRA) and other payments made under the Disaster Recovery Funding Arrangements. </w:t>
      </w:r>
    </w:p>
    <w:p w14:paraId="03591B95" w14:textId="65339FC4" w:rsidR="00761A27" w:rsidRDefault="00761A27" w:rsidP="00761A27">
      <w:pPr>
        <w:pStyle w:val="Heading2"/>
        <w:rPr>
          <w:lang w:eastAsia="en-GB"/>
        </w:rPr>
      </w:pPr>
      <w:bookmarkStart w:id="12" w:name="_Toc117667173"/>
      <w:r w:rsidRPr="00485923">
        <w:rPr>
          <w:lang w:eastAsia="en-GB"/>
        </w:rPr>
        <w:t xml:space="preserve">Lifting the income </w:t>
      </w:r>
      <w:r w:rsidRPr="00761A27">
        <w:t>limit</w:t>
      </w:r>
      <w:r w:rsidRPr="00485923">
        <w:rPr>
          <w:lang w:eastAsia="en-GB"/>
        </w:rPr>
        <w:t xml:space="preserve"> on Seniors Health Card</w:t>
      </w:r>
      <w:bookmarkEnd w:id="12"/>
    </w:p>
    <w:p w14:paraId="449FB4EC" w14:textId="46BB1C7F" w:rsidR="00761A27" w:rsidRPr="00761A27" w:rsidRDefault="00761A27" w:rsidP="00761A27">
      <w:r w:rsidRPr="00761A27">
        <w:t xml:space="preserve">As previously announced, the income test limits </w:t>
      </w:r>
      <w:r w:rsidR="00B573F2">
        <w:t>will</w:t>
      </w:r>
      <w:r w:rsidRPr="00761A27">
        <w:t xml:space="preserve"> be increased for access to the Commonwealth Seniors Health Card (CSHC)</w:t>
      </w:r>
      <w:r>
        <w:t xml:space="preserve">. The CSHC </w:t>
      </w:r>
      <w:r w:rsidRPr="00761A27">
        <w:t>provides subsidised pharmaceuticals and other medical benefits for self-funded retirees that have reached aged pension age.</w:t>
      </w:r>
    </w:p>
    <w:p w14:paraId="6FD5BC2D" w14:textId="39039E78" w:rsidR="00761A27" w:rsidRPr="00761A27" w:rsidRDefault="00761A27" w:rsidP="00761A27"/>
    <w:p w14:paraId="2680FDFB" w14:textId="4A4138D9" w:rsidR="001616BC" w:rsidRDefault="00761A27" w:rsidP="00761A27">
      <w:r w:rsidRPr="00761A27">
        <w:t>The income test captures adjusted taxable income plus deeming on account-based pensions unless grandfathered under the pre-1 July 2015 rules.</w:t>
      </w:r>
      <w:r>
        <w:t xml:space="preserve"> </w:t>
      </w:r>
      <w:r w:rsidRPr="00761A27">
        <w:t>The CSHC is not asset tested.</w:t>
      </w:r>
    </w:p>
    <w:p w14:paraId="22741B4D" w14:textId="30BBB30F" w:rsidR="00761A27" w:rsidRPr="00485923" w:rsidRDefault="00761A27" w:rsidP="00761A27">
      <w:pPr>
        <w:rPr>
          <w:color w:val="303030"/>
          <w:sz w:val="20"/>
          <w:szCs w:val="20"/>
          <w:lang w:eastAsia="en-GB"/>
        </w:rPr>
      </w:pPr>
    </w:p>
    <w:tbl>
      <w:tblPr>
        <w:tblStyle w:val="KSworkbooktable"/>
        <w:tblW w:w="4252" w:type="dxa"/>
        <w:tblInd w:w="-5" w:type="dxa"/>
        <w:tblLook w:val="04A0" w:firstRow="1" w:lastRow="0" w:firstColumn="1" w:lastColumn="0" w:noHBand="0" w:noVBand="1"/>
      </w:tblPr>
      <w:tblGrid>
        <w:gridCol w:w="1701"/>
        <w:gridCol w:w="1275"/>
        <w:gridCol w:w="1276"/>
      </w:tblGrid>
      <w:tr w:rsidR="00EE6CFF" w:rsidRPr="00485923" w14:paraId="33A98ABC" w14:textId="77777777" w:rsidTr="00EE6C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hideMark/>
          </w:tcPr>
          <w:p w14:paraId="5B482D44" w14:textId="77777777" w:rsidR="00761A27" w:rsidRPr="00AE0B2C" w:rsidRDefault="00761A27" w:rsidP="00E90C85">
            <w:pPr>
              <w:rPr>
                <w:color w:val="303030"/>
                <w:sz w:val="18"/>
                <w:szCs w:val="18"/>
                <w:lang w:eastAsia="en-GB"/>
              </w:rPr>
            </w:pPr>
            <w:r w:rsidRPr="00AE0B2C">
              <w:rPr>
                <w:color w:val="303030"/>
                <w:sz w:val="18"/>
                <w:szCs w:val="18"/>
                <w:lang w:eastAsia="en-GB"/>
              </w:rPr>
              <w:t> </w:t>
            </w:r>
          </w:p>
        </w:tc>
        <w:tc>
          <w:tcPr>
            <w:tcW w:w="1275" w:type="dxa"/>
            <w:hideMark/>
          </w:tcPr>
          <w:p w14:paraId="7AFD70CD" w14:textId="77777777" w:rsidR="00761A27" w:rsidRPr="00AE0B2C" w:rsidRDefault="00761A27" w:rsidP="00E90C85">
            <w:pPr>
              <w:cnfStyle w:val="100000000000" w:firstRow="1" w:lastRow="0" w:firstColumn="0" w:lastColumn="0" w:oddVBand="0" w:evenVBand="0" w:oddHBand="0" w:evenHBand="0" w:firstRowFirstColumn="0" w:firstRowLastColumn="0" w:lastRowFirstColumn="0" w:lastRowLastColumn="0"/>
              <w:rPr>
                <w:color w:val="303030"/>
                <w:sz w:val="18"/>
                <w:szCs w:val="18"/>
                <w:lang w:eastAsia="en-GB"/>
              </w:rPr>
            </w:pPr>
            <w:r w:rsidRPr="00AE0B2C">
              <w:rPr>
                <w:color w:val="303030"/>
                <w:sz w:val="18"/>
                <w:szCs w:val="18"/>
                <w:lang w:eastAsia="en-GB"/>
              </w:rPr>
              <w:t>Current ($ per annum)</w:t>
            </w:r>
          </w:p>
        </w:tc>
        <w:tc>
          <w:tcPr>
            <w:tcW w:w="1276" w:type="dxa"/>
            <w:hideMark/>
          </w:tcPr>
          <w:p w14:paraId="67DD6646" w14:textId="77777777" w:rsidR="00761A27" w:rsidRPr="00AE0B2C" w:rsidRDefault="00761A27" w:rsidP="00E90C85">
            <w:pPr>
              <w:cnfStyle w:val="100000000000" w:firstRow="1" w:lastRow="0" w:firstColumn="0" w:lastColumn="0" w:oddVBand="0" w:evenVBand="0" w:oddHBand="0" w:evenHBand="0" w:firstRowFirstColumn="0" w:firstRowLastColumn="0" w:lastRowFirstColumn="0" w:lastRowLastColumn="0"/>
              <w:rPr>
                <w:color w:val="303030"/>
                <w:sz w:val="18"/>
                <w:szCs w:val="18"/>
                <w:lang w:eastAsia="en-GB"/>
              </w:rPr>
            </w:pPr>
            <w:r w:rsidRPr="00AE0B2C">
              <w:rPr>
                <w:color w:val="303030"/>
                <w:sz w:val="18"/>
                <w:szCs w:val="18"/>
                <w:lang w:eastAsia="en-GB"/>
              </w:rPr>
              <w:t>New ($ per annum)</w:t>
            </w:r>
          </w:p>
        </w:tc>
      </w:tr>
      <w:tr w:rsidR="00EE6CFF" w:rsidRPr="00485923" w14:paraId="2AA36388" w14:textId="77777777" w:rsidTr="00EE6C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hideMark/>
          </w:tcPr>
          <w:p w14:paraId="0A3C1914" w14:textId="77777777" w:rsidR="00761A27" w:rsidRPr="00AE0B2C" w:rsidRDefault="00761A27" w:rsidP="00E90C85">
            <w:pPr>
              <w:rPr>
                <w:b w:val="0"/>
                <w:bCs w:val="0"/>
                <w:color w:val="303030"/>
                <w:sz w:val="18"/>
                <w:szCs w:val="18"/>
                <w:lang w:eastAsia="en-GB"/>
              </w:rPr>
            </w:pPr>
            <w:r w:rsidRPr="00AE0B2C">
              <w:rPr>
                <w:b w:val="0"/>
                <w:bCs w:val="0"/>
                <w:color w:val="303030"/>
                <w:sz w:val="18"/>
                <w:szCs w:val="18"/>
                <w:lang w:eastAsia="en-GB"/>
              </w:rPr>
              <w:t>Single</w:t>
            </w:r>
          </w:p>
        </w:tc>
        <w:tc>
          <w:tcPr>
            <w:tcW w:w="1275" w:type="dxa"/>
            <w:hideMark/>
          </w:tcPr>
          <w:p w14:paraId="3E9AD262" w14:textId="77777777" w:rsidR="00761A27" w:rsidRPr="00AE0B2C" w:rsidRDefault="00761A27" w:rsidP="00E90C85">
            <w:pPr>
              <w:cnfStyle w:val="000000100000" w:firstRow="0" w:lastRow="0" w:firstColumn="0" w:lastColumn="0" w:oddVBand="0" w:evenVBand="0" w:oddHBand="1" w:evenHBand="0" w:firstRowFirstColumn="0" w:firstRowLastColumn="0" w:lastRowFirstColumn="0" w:lastRowLastColumn="0"/>
              <w:rPr>
                <w:color w:val="303030"/>
                <w:sz w:val="18"/>
                <w:szCs w:val="18"/>
                <w:lang w:eastAsia="en-GB"/>
              </w:rPr>
            </w:pPr>
            <w:r w:rsidRPr="00AE0B2C">
              <w:rPr>
                <w:color w:val="303030"/>
                <w:sz w:val="18"/>
                <w:szCs w:val="18"/>
                <w:lang w:eastAsia="en-GB"/>
              </w:rPr>
              <w:t>$61,284</w:t>
            </w:r>
          </w:p>
        </w:tc>
        <w:tc>
          <w:tcPr>
            <w:tcW w:w="1276" w:type="dxa"/>
            <w:hideMark/>
          </w:tcPr>
          <w:p w14:paraId="5485C354" w14:textId="77777777" w:rsidR="00761A27" w:rsidRPr="00AE0B2C" w:rsidRDefault="00761A27" w:rsidP="00E90C85">
            <w:pPr>
              <w:cnfStyle w:val="000000100000" w:firstRow="0" w:lastRow="0" w:firstColumn="0" w:lastColumn="0" w:oddVBand="0" w:evenVBand="0" w:oddHBand="1" w:evenHBand="0" w:firstRowFirstColumn="0" w:firstRowLastColumn="0" w:lastRowFirstColumn="0" w:lastRowLastColumn="0"/>
              <w:rPr>
                <w:color w:val="303030"/>
                <w:sz w:val="18"/>
                <w:szCs w:val="18"/>
                <w:lang w:eastAsia="en-GB"/>
              </w:rPr>
            </w:pPr>
            <w:r w:rsidRPr="00AE0B2C">
              <w:rPr>
                <w:color w:val="303030"/>
                <w:sz w:val="18"/>
                <w:szCs w:val="18"/>
                <w:lang w:eastAsia="en-GB"/>
              </w:rPr>
              <w:t>$90,000</w:t>
            </w:r>
          </w:p>
        </w:tc>
      </w:tr>
      <w:tr w:rsidR="00EE6CFF" w:rsidRPr="00485923" w14:paraId="7E737FBB" w14:textId="77777777" w:rsidTr="00EE6C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hideMark/>
          </w:tcPr>
          <w:p w14:paraId="592E0F1A" w14:textId="77777777" w:rsidR="00761A27" w:rsidRPr="00AE0B2C" w:rsidRDefault="00761A27" w:rsidP="00E90C85">
            <w:pPr>
              <w:rPr>
                <w:b w:val="0"/>
                <w:bCs w:val="0"/>
                <w:color w:val="303030"/>
                <w:sz w:val="18"/>
                <w:szCs w:val="18"/>
                <w:lang w:eastAsia="en-GB"/>
              </w:rPr>
            </w:pPr>
            <w:r w:rsidRPr="00AE0B2C">
              <w:rPr>
                <w:b w:val="0"/>
                <w:bCs w:val="0"/>
                <w:color w:val="303030"/>
                <w:sz w:val="18"/>
                <w:szCs w:val="18"/>
                <w:lang w:eastAsia="en-GB"/>
              </w:rPr>
              <w:t>Couples combined</w:t>
            </w:r>
          </w:p>
        </w:tc>
        <w:tc>
          <w:tcPr>
            <w:tcW w:w="1275" w:type="dxa"/>
            <w:hideMark/>
          </w:tcPr>
          <w:p w14:paraId="57064936" w14:textId="77777777" w:rsidR="00761A27" w:rsidRPr="00AE0B2C" w:rsidRDefault="00761A27" w:rsidP="00E90C85">
            <w:pPr>
              <w:cnfStyle w:val="000000010000" w:firstRow="0" w:lastRow="0" w:firstColumn="0" w:lastColumn="0" w:oddVBand="0" w:evenVBand="0" w:oddHBand="0" w:evenHBand="1" w:firstRowFirstColumn="0" w:firstRowLastColumn="0" w:lastRowFirstColumn="0" w:lastRowLastColumn="0"/>
              <w:rPr>
                <w:color w:val="303030"/>
                <w:sz w:val="18"/>
                <w:szCs w:val="18"/>
                <w:lang w:eastAsia="en-GB"/>
              </w:rPr>
            </w:pPr>
            <w:r w:rsidRPr="00AE0B2C">
              <w:rPr>
                <w:color w:val="303030"/>
                <w:sz w:val="18"/>
                <w:szCs w:val="18"/>
                <w:lang w:eastAsia="en-GB"/>
              </w:rPr>
              <w:t>$98,054</w:t>
            </w:r>
          </w:p>
        </w:tc>
        <w:tc>
          <w:tcPr>
            <w:tcW w:w="1276" w:type="dxa"/>
            <w:hideMark/>
          </w:tcPr>
          <w:p w14:paraId="2733849F" w14:textId="77777777" w:rsidR="00761A27" w:rsidRPr="00AE0B2C" w:rsidRDefault="00761A27" w:rsidP="00E90C85">
            <w:pPr>
              <w:cnfStyle w:val="000000010000" w:firstRow="0" w:lastRow="0" w:firstColumn="0" w:lastColumn="0" w:oddVBand="0" w:evenVBand="0" w:oddHBand="0" w:evenHBand="1" w:firstRowFirstColumn="0" w:firstRowLastColumn="0" w:lastRowFirstColumn="0" w:lastRowLastColumn="0"/>
              <w:rPr>
                <w:color w:val="303030"/>
                <w:sz w:val="18"/>
                <w:szCs w:val="18"/>
                <w:lang w:eastAsia="en-GB"/>
              </w:rPr>
            </w:pPr>
            <w:r w:rsidRPr="00AE0B2C">
              <w:rPr>
                <w:color w:val="303030"/>
                <w:sz w:val="18"/>
                <w:szCs w:val="18"/>
                <w:lang w:eastAsia="en-GB"/>
              </w:rPr>
              <w:t>$144,000</w:t>
            </w:r>
          </w:p>
        </w:tc>
      </w:tr>
    </w:tbl>
    <w:p w14:paraId="319E02A0" w14:textId="77D89A18" w:rsidR="00761A27" w:rsidRDefault="00761A27" w:rsidP="00761A27">
      <w:pPr>
        <w:rPr>
          <w:color w:val="303030"/>
          <w:sz w:val="20"/>
          <w:szCs w:val="20"/>
          <w:lang w:eastAsia="en-GB"/>
        </w:rPr>
      </w:pPr>
    </w:p>
    <w:p w14:paraId="5BF5F8CA" w14:textId="77777777" w:rsidR="001616BC" w:rsidRPr="00761A27" w:rsidRDefault="001616BC" w:rsidP="001616BC">
      <w:r>
        <w:t>Legislation enabling the increase is before Parliament.</w:t>
      </w:r>
    </w:p>
    <w:p w14:paraId="71863DC0" w14:textId="77777777" w:rsidR="001616BC" w:rsidRDefault="001616BC" w:rsidP="001616BC">
      <w:pPr>
        <w:rPr>
          <w:color w:val="303030"/>
          <w:sz w:val="20"/>
          <w:szCs w:val="20"/>
          <w:lang w:eastAsia="en-GB"/>
        </w:rPr>
      </w:pPr>
    </w:p>
    <w:p w14:paraId="49416ABF" w14:textId="1A3EC1E8" w:rsidR="00A13E6F" w:rsidRDefault="001616BC" w:rsidP="00761A27">
      <w:pPr>
        <w:rPr>
          <w:color w:val="303030"/>
          <w:sz w:val="20"/>
          <w:szCs w:val="20"/>
          <w:lang w:eastAsia="en-GB"/>
        </w:rPr>
      </w:pPr>
      <w:r w:rsidRPr="001616BC">
        <w:rPr>
          <w:color w:val="303030"/>
          <w:sz w:val="20"/>
          <w:szCs w:val="20"/>
          <w:lang w:eastAsia="en-GB"/>
        </w:rPr>
        <w:t>The Government will also freeze social security deeming rates at their current levels for a</w:t>
      </w:r>
      <w:r>
        <w:rPr>
          <w:color w:val="303030"/>
          <w:sz w:val="20"/>
          <w:szCs w:val="20"/>
          <w:lang w:eastAsia="en-GB"/>
        </w:rPr>
        <w:t xml:space="preserve"> </w:t>
      </w:r>
      <w:r w:rsidRPr="001616BC">
        <w:rPr>
          <w:color w:val="303030"/>
          <w:sz w:val="20"/>
          <w:szCs w:val="20"/>
          <w:lang w:eastAsia="en-GB"/>
        </w:rPr>
        <w:t>further two years until 30 June 2024</w:t>
      </w:r>
      <w:r w:rsidR="0093402B">
        <w:rPr>
          <w:color w:val="303030"/>
          <w:sz w:val="20"/>
          <w:szCs w:val="20"/>
          <w:lang w:eastAsia="en-GB"/>
        </w:rPr>
        <w:t>.</w:t>
      </w:r>
    </w:p>
    <w:p w14:paraId="610F6E90" w14:textId="77777777" w:rsidR="00A13E6F" w:rsidRDefault="00A13E6F" w:rsidP="00761A27">
      <w:pPr>
        <w:rPr>
          <w:color w:val="303030"/>
          <w:sz w:val="20"/>
          <w:szCs w:val="20"/>
          <w:lang w:eastAsia="en-GB"/>
        </w:rPr>
      </w:pPr>
    </w:p>
    <w:p w14:paraId="1AB6F1DF" w14:textId="47F6775A" w:rsidR="003E60A2" w:rsidRDefault="00BB030D" w:rsidP="002D4B40">
      <w:pPr>
        <w:pStyle w:val="Heading2"/>
      </w:pPr>
      <w:bookmarkStart w:id="13" w:name="_Toc117667174"/>
      <w:r>
        <w:lastRenderedPageBreak/>
        <w:t>Income support</w:t>
      </w:r>
      <w:r w:rsidR="00A13E6F">
        <w:t xml:space="preserve"> a</w:t>
      </w:r>
      <w:r w:rsidR="003E60A2" w:rsidRPr="003E60A2">
        <w:t>sset test extended on proceeds of sale of main residence</w:t>
      </w:r>
      <w:bookmarkEnd w:id="13"/>
    </w:p>
    <w:p w14:paraId="0BCC661B" w14:textId="45F18E46" w:rsidR="00BB030D" w:rsidRDefault="003E60A2" w:rsidP="00BB030D">
      <w:r>
        <w:t xml:space="preserve">As previously announced, </w:t>
      </w:r>
      <w:r w:rsidR="00BB030D">
        <w:t>the Government is:</w:t>
      </w:r>
    </w:p>
    <w:p w14:paraId="5EEBED1E" w14:textId="77777777" w:rsidR="00BB030D" w:rsidRDefault="00BB030D" w:rsidP="00BB030D"/>
    <w:p w14:paraId="7A814571" w14:textId="6C54C3AC" w:rsidR="00BB030D" w:rsidRDefault="00BB030D" w:rsidP="00BB030D">
      <w:pPr>
        <w:pStyle w:val="ListParagraph"/>
      </w:pPr>
      <w:r>
        <w:t>Extending the assets test exemption for principal home sale proceeds from 12 months to 24 months for income support recipients, and</w:t>
      </w:r>
    </w:p>
    <w:p w14:paraId="5497661F" w14:textId="05D8C8EB" w:rsidR="00BB030D" w:rsidRDefault="00BB030D" w:rsidP="00BB030D">
      <w:pPr>
        <w:pStyle w:val="ListParagraph"/>
      </w:pPr>
      <w:r>
        <w:t>Changing the income test, to apply only the lower deeming rate (0.25%) to principal home sale proceeds when calculating deemed income for 24 months after the sale of the principal home.</w:t>
      </w:r>
    </w:p>
    <w:p w14:paraId="11CA6FF8" w14:textId="77777777" w:rsidR="003E60A2" w:rsidRDefault="003E60A2" w:rsidP="003E60A2"/>
    <w:p w14:paraId="55866A1B" w14:textId="1A0278C5" w:rsidR="003E60A2" w:rsidRDefault="003E60A2" w:rsidP="003E60A2">
      <w:r>
        <w:t>The exemptions apply until the income support recipient acquires another main residence or the 24-month period expires.</w:t>
      </w:r>
      <w:r w:rsidR="00BD7C92">
        <w:t xml:space="preserve"> The Bill enabling the extension is currently before Parliament.</w:t>
      </w:r>
    </w:p>
    <w:p w14:paraId="71A02B84" w14:textId="2E0ACECA" w:rsidR="003301F6" w:rsidRDefault="003301F6" w:rsidP="002D4B40">
      <w:pPr>
        <w:pStyle w:val="Heading2"/>
      </w:pPr>
      <w:bookmarkStart w:id="14" w:name="_Toc117667175"/>
      <w:r>
        <w:t>Total and permanent incapacity payments to veterans</w:t>
      </w:r>
      <w:bookmarkEnd w:id="14"/>
    </w:p>
    <w:tbl>
      <w:tblPr>
        <w:tblStyle w:val="TableContemporary"/>
        <w:tblW w:w="0" w:type="auto"/>
        <w:tblLook w:val="0400" w:firstRow="0" w:lastRow="0" w:firstColumn="0" w:lastColumn="0" w:noHBand="0" w:noVBand="1"/>
      </w:tblPr>
      <w:tblGrid>
        <w:gridCol w:w="988"/>
        <w:gridCol w:w="3183"/>
      </w:tblGrid>
      <w:tr w:rsidR="003301F6" w:rsidRPr="0052217A" w14:paraId="61ECC1D1" w14:textId="77777777" w:rsidTr="00E90C85">
        <w:trPr>
          <w:cnfStyle w:val="000000100000" w:firstRow="0" w:lastRow="0" w:firstColumn="0" w:lastColumn="0" w:oddVBand="0" w:evenVBand="0" w:oddHBand="1" w:evenHBand="0" w:firstRowFirstColumn="0" w:firstRowLastColumn="0" w:lastRowFirstColumn="0" w:lastRowLastColumn="0"/>
        </w:trPr>
        <w:tc>
          <w:tcPr>
            <w:tcW w:w="988" w:type="dxa"/>
          </w:tcPr>
          <w:p w14:paraId="3237676A" w14:textId="77777777" w:rsidR="003301F6" w:rsidRPr="0052217A" w:rsidRDefault="003301F6" w:rsidP="00E90C85">
            <w:pPr>
              <w:rPr>
                <w:b/>
                <w:bCs/>
                <w:sz w:val="20"/>
              </w:rPr>
            </w:pPr>
            <w:r w:rsidRPr="0052217A">
              <w:rPr>
                <w:b/>
                <w:bCs/>
                <w:sz w:val="20"/>
              </w:rPr>
              <w:t>From</w:t>
            </w:r>
          </w:p>
        </w:tc>
        <w:tc>
          <w:tcPr>
            <w:tcW w:w="3184" w:type="dxa"/>
          </w:tcPr>
          <w:p w14:paraId="12870C3A" w14:textId="77777777" w:rsidR="003301F6" w:rsidRPr="0052217A" w:rsidRDefault="003301F6" w:rsidP="00E90C85">
            <w:pPr>
              <w:rPr>
                <w:sz w:val="20"/>
              </w:rPr>
            </w:pPr>
            <w:r>
              <w:rPr>
                <w:sz w:val="20"/>
              </w:rPr>
              <w:t>2022-23</w:t>
            </w:r>
          </w:p>
        </w:tc>
      </w:tr>
    </w:tbl>
    <w:p w14:paraId="52D46A55" w14:textId="77777777" w:rsidR="003301F6" w:rsidRPr="002D4B40" w:rsidRDefault="003301F6" w:rsidP="003301F6"/>
    <w:p w14:paraId="0FCC79AB" w14:textId="45217890" w:rsidR="003E60A2" w:rsidRDefault="003301F6" w:rsidP="003301F6">
      <w:r>
        <w:t xml:space="preserve">The </w:t>
      </w:r>
      <w:r w:rsidRPr="003301F6">
        <w:t>Special Rate of Disability Compensation Payment</w:t>
      </w:r>
      <w:r>
        <w:t xml:space="preserve">, </w:t>
      </w:r>
      <w:r w:rsidRPr="003301F6">
        <w:t>Temporary Special Rate Payment, and the Special Rate Disability Pension</w:t>
      </w:r>
      <w:r>
        <w:t xml:space="preserve"> for veterans will increase by $1,000 per year.</w:t>
      </w:r>
    </w:p>
    <w:p w14:paraId="16998D7D" w14:textId="1266177F" w:rsidR="00416B80" w:rsidRDefault="002D4B40" w:rsidP="002D4B40">
      <w:pPr>
        <w:pStyle w:val="Heading2"/>
      </w:pPr>
      <w:bookmarkStart w:id="15" w:name="_Toc117667176"/>
      <w:r>
        <w:t>Community batteries for household solar</w:t>
      </w:r>
      <w:bookmarkEnd w:id="15"/>
    </w:p>
    <w:tbl>
      <w:tblPr>
        <w:tblStyle w:val="TableContemporary"/>
        <w:tblW w:w="0" w:type="auto"/>
        <w:tblLook w:val="0400" w:firstRow="0" w:lastRow="0" w:firstColumn="0" w:lastColumn="0" w:noHBand="0" w:noVBand="1"/>
      </w:tblPr>
      <w:tblGrid>
        <w:gridCol w:w="988"/>
        <w:gridCol w:w="3183"/>
      </w:tblGrid>
      <w:tr w:rsidR="002D4B40" w:rsidRPr="0052217A" w14:paraId="156DD9C0" w14:textId="77777777" w:rsidTr="00E90C85">
        <w:trPr>
          <w:cnfStyle w:val="000000100000" w:firstRow="0" w:lastRow="0" w:firstColumn="0" w:lastColumn="0" w:oddVBand="0" w:evenVBand="0" w:oddHBand="1" w:evenHBand="0" w:firstRowFirstColumn="0" w:firstRowLastColumn="0" w:lastRowFirstColumn="0" w:lastRowLastColumn="0"/>
        </w:trPr>
        <w:tc>
          <w:tcPr>
            <w:tcW w:w="988" w:type="dxa"/>
          </w:tcPr>
          <w:p w14:paraId="7B2389A0" w14:textId="77777777" w:rsidR="002D4B40" w:rsidRPr="0052217A" w:rsidRDefault="002D4B40" w:rsidP="00E90C85">
            <w:pPr>
              <w:rPr>
                <w:b/>
                <w:bCs/>
                <w:sz w:val="20"/>
              </w:rPr>
            </w:pPr>
            <w:r w:rsidRPr="0052217A">
              <w:rPr>
                <w:b/>
                <w:bCs/>
                <w:sz w:val="20"/>
              </w:rPr>
              <w:t>From</w:t>
            </w:r>
          </w:p>
        </w:tc>
        <w:tc>
          <w:tcPr>
            <w:tcW w:w="3184" w:type="dxa"/>
          </w:tcPr>
          <w:p w14:paraId="1D63B6F0" w14:textId="58289BE2" w:rsidR="002D4B40" w:rsidRPr="0052217A" w:rsidRDefault="002D4B40" w:rsidP="00E90C85">
            <w:pPr>
              <w:rPr>
                <w:sz w:val="20"/>
              </w:rPr>
            </w:pPr>
            <w:r>
              <w:rPr>
                <w:sz w:val="20"/>
              </w:rPr>
              <w:t>2022-23</w:t>
            </w:r>
          </w:p>
        </w:tc>
      </w:tr>
    </w:tbl>
    <w:p w14:paraId="658479EE" w14:textId="77777777" w:rsidR="002D4B40" w:rsidRPr="002D4B40" w:rsidRDefault="002D4B40" w:rsidP="002D4B40"/>
    <w:p w14:paraId="1FF6BBD9" w14:textId="0462B575" w:rsidR="002D4B40" w:rsidRDefault="002D4B40" w:rsidP="002D4B40">
      <w:r>
        <w:t xml:space="preserve">The Government will provide $224.3m over 4 years from 2022-23 to deploy 400 community batteries across Australia. </w:t>
      </w:r>
    </w:p>
    <w:p w14:paraId="59D7F470" w14:textId="23EE8D64" w:rsidR="00193995" w:rsidRDefault="00193995" w:rsidP="002D4B40"/>
    <w:p w14:paraId="11B2EC8E" w14:textId="18745015" w:rsidR="00193995" w:rsidRPr="002D4B40" w:rsidRDefault="00193995" w:rsidP="00193995">
      <w:r>
        <w:t xml:space="preserve">A related solar initiative will see </w:t>
      </w:r>
      <w:r w:rsidR="00FF072F">
        <w:t xml:space="preserve">an additional </w:t>
      </w:r>
      <w:r>
        <w:t xml:space="preserve">$102m committed to establish a Community Solar Banks program for the deployment of community-scale solar and clean energy technologies. This initiative is aimed at regional </w:t>
      </w:r>
      <w:r>
        <w:t>communities, social housing, apartments, rental accommodation, and households that are traditionally unable to access rooftop solar.</w:t>
      </w:r>
    </w:p>
    <w:p w14:paraId="790C735F" w14:textId="777063AD" w:rsidR="00E176C3" w:rsidRDefault="00E176C3" w:rsidP="00416B80"/>
    <w:p w14:paraId="2DACCFAC" w14:textId="77777777" w:rsidR="00E176C3" w:rsidRPr="00416B80" w:rsidRDefault="00E176C3" w:rsidP="00416B80"/>
    <w:p w14:paraId="2434B40E" w14:textId="37482D17" w:rsidR="002E78B7" w:rsidRDefault="0092316C" w:rsidP="002E78B7">
      <w:pPr>
        <w:pStyle w:val="Heading1"/>
      </w:pPr>
      <w:bookmarkStart w:id="16" w:name="_Toc117667177"/>
      <w:r>
        <w:t>S</w:t>
      </w:r>
      <w:r w:rsidR="002E78B7">
        <w:t>uperannuation</w:t>
      </w:r>
      <w:bookmarkEnd w:id="10"/>
      <w:r w:rsidR="00960FBE">
        <w:t xml:space="preserve"> &amp; investors</w:t>
      </w:r>
      <w:bookmarkEnd w:id="16"/>
    </w:p>
    <w:p w14:paraId="2D74CC76" w14:textId="2E686A3F" w:rsidR="00145BFC" w:rsidRDefault="00284C91" w:rsidP="000558F5">
      <w:pPr>
        <w:pStyle w:val="Heading2"/>
      </w:pPr>
      <w:bookmarkStart w:id="17" w:name="_Toc117667178"/>
      <w:r>
        <w:t>Change to taxation of o</w:t>
      </w:r>
      <w:r w:rsidR="00960FBE">
        <w:t xml:space="preserve">ff-market </w:t>
      </w:r>
      <w:r w:rsidR="00FA5086">
        <w:t>share buy-backs</w:t>
      </w:r>
      <w:r w:rsidR="00851A6D">
        <w:t xml:space="preserve"> </w:t>
      </w:r>
      <w:r>
        <w:t>by listed companies</w:t>
      </w:r>
      <w:bookmarkEnd w:id="17"/>
      <w:r w:rsidR="00851A6D">
        <w:t xml:space="preserve"> </w:t>
      </w:r>
    </w:p>
    <w:tbl>
      <w:tblPr>
        <w:tblStyle w:val="TableContemporary"/>
        <w:tblW w:w="0" w:type="auto"/>
        <w:tblLook w:val="0400" w:firstRow="0" w:lastRow="0" w:firstColumn="0" w:lastColumn="0" w:noHBand="0" w:noVBand="1"/>
      </w:tblPr>
      <w:tblGrid>
        <w:gridCol w:w="988"/>
        <w:gridCol w:w="3183"/>
      </w:tblGrid>
      <w:tr w:rsidR="00D77877" w:rsidRPr="0052217A" w14:paraId="4371E96D" w14:textId="77777777" w:rsidTr="00E90C85">
        <w:trPr>
          <w:cnfStyle w:val="000000100000" w:firstRow="0" w:lastRow="0" w:firstColumn="0" w:lastColumn="0" w:oddVBand="0" w:evenVBand="0" w:oddHBand="1" w:evenHBand="0" w:firstRowFirstColumn="0" w:firstRowLastColumn="0" w:lastRowFirstColumn="0" w:lastRowLastColumn="0"/>
        </w:trPr>
        <w:tc>
          <w:tcPr>
            <w:tcW w:w="988" w:type="dxa"/>
          </w:tcPr>
          <w:p w14:paraId="7B69289D" w14:textId="77777777" w:rsidR="00D77877" w:rsidRPr="0052217A" w:rsidRDefault="00D77877" w:rsidP="00E90C85">
            <w:pPr>
              <w:rPr>
                <w:b/>
                <w:bCs/>
                <w:sz w:val="20"/>
              </w:rPr>
            </w:pPr>
            <w:r w:rsidRPr="0052217A">
              <w:rPr>
                <w:b/>
                <w:bCs/>
                <w:sz w:val="20"/>
              </w:rPr>
              <w:t>From</w:t>
            </w:r>
          </w:p>
        </w:tc>
        <w:tc>
          <w:tcPr>
            <w:tcW w:w="3184" w:type="dxa"/>
          </w:tcPr>
          <w:p w14:paraId="0C480EF1" w14:textId="10CE74CD" w:rsidR="00D77877" w:rsidRPr="0052217A" w:rsidRDefault="00D77877" w:rsidP="00E90C85">
            <w:pPr>
              <w:rPr>
                <w:sz w:val="20"/>
              </w:rPr>
            </w:pPr>
            <w:r w:rsidRPr="00D77877">
              <w:rPr>
                <w:sz w:val="20"/>
              </w:rPr>
              <w:t>7:30pm AEDT, 25 October 2022</w:t>
            </w:r>
          </w:p>
        </w:tc>
      </w:tr>
    </w:tbl>
    <w:p w14:paraId="64C0A838" w14:textId="77777777" w:rsidR="00D77877" w:rsidRPr="00CB069D" w:rsidRDefault="00D77877" w:rsidP="00D77877">
      <w:pPr>
        <w:rPr>
          <w:lang w:val="en-GB"/>
        </w:rPr>
      </w:pPr>
    </w:p>
    <w:p w14:paraId="645EA589" w14:textId="4F5DFB46" w:rsidR="00851A6D" w:rsidRPr="00851A6D" w:rsidRDefault="00851A6D" w:rsidP="00851A6D">
      <w:r w:rsidRPr="00851A6D">
        <w:t xml:space="preserve">From Budget night, 7:30pm AEDT, 25 October 2022, the Government intends to align the tax treatment of </w:t>
      </w:r>
      <w:r w:rsidR="00620811">
        <w:t xml:space="preserve">off-market </w:t>
      </w:r>
      <w:r w:rsidRPr="00851A6D">
        <w:t>share buy</w:t>
      </w:r>
      <w:r w:rsidR="00620811">
        <w:t>-</w:t>
      </w:r>
      <w:r w:rsidRPr="00851A6D">
        <w:t>backs</w:t>
      </w:r>
      <w:r>
        <w:t xml:space="preserve"> </w:t>
      </w:r>
      <w:r w:rsidR="00F72ACB">
        <w:t xml:space="preserve">undertaken by listed public companies </w:t>
      </w:r>
      <w:r w:rsidR="00620811">
        <w:t>with the treatment of on-market buy-backs</w:t>
      </w:r>
      <w:r>
        <w:t xml:space="preserve">. The result is </w:t>
      </w:r>
      <w:r w:rsidR="00D42409">
        <w:t>expected to deliver</w:t>
      </w:r>
      <w:r w:rsidR="007776F9">
        <w:t xml:space="preserve"> a saving of </w:t>
      </w:r>
      <w:r w:rsidR="00D42409">
        <w:t>$550</w:t>
      </w:r>
      <w:r w:rsidR="007776F9">
        <w:t>m.</w:t>
      </w:r>
    </w:p>
    <w:p w14:paraId="21094C27" w14:textId="77777777" w:rsidR="00851A6D" w:rsidRDefault="00851A6D" w:rsidP="00FA5086"/>
    <w:p w14:paraId="31CE90EE" w14:textId="0D40D787" w:rsidR="00D77877" w:rsidRDefault="00D77877" w:rsidP="00FA5086">
      <w:r>
        <w:t xml:space="preserve">An on-market buy-back is </w:t>
      </w:r>
      <w:r w:rsidR="00CB68E7">
        <w:t>when</w:t>
      </w:r>
      <w:r>
        <w:t xml:space="preserve"> a listed company buys its shares back on the stock exchange. </w:t>
      </w:r>
      <w:r w:rsidR="00736E2C">
        <w:t xml:space="preserve">All other buy-backs are treated as </w:t>
      </w:r>
      <w:r>
        <w:t>off-market buy-back</w:t>
      </w:r>
      <w:r w:rsidR="00736E2C">
        <w:t>s</w:t>
      </w:r>
      <w:r>
        <w:t xml:space="preserve">. </w:t>
      </w:r>
    </w:p>
    <w:p w14:paraId="1AA8BCDC" w14:textId="77777777" w:rsidR="00851A6D" w:rsidRDefault="00851A6D" w:rsidP="00FA5086"/>
    <w:p w14:paraId="62EFCDB2" w14:textId="3099CDEC" w:rsidR="001C2465" w:rsidRDefault="00D77877" w:rsidP="00FA5086">
      <w:r>
        <w:t xml:space="preserve">Under the current rules, </w:t>
      </w:r>
      <w:r w:rsidR="00044C46">
        <w:t xml:space="preserve">when a company undertakes an </w:t>
      </w:r>
      <w:r>
        <w:t>off</w:t>
      </w:r>
      <w:r w:rsidR="00851A6D">
        <w:t>-</w:t>
      </w:r>
      <w:r>
        <w:t xml:space="preserve">market buy-back </w:t>
      </w:r>
      <w:r w:rsidR="00044C46">
        <w:t xml:space="preserve">it is necessary to consider which portion of the proceeds is taxed as a dividend and which portion is </w:t>
      </w:r>
      <w:r w:rsidR="00471ADF">
        <w:t xml:space="preserve">taxed under the CGT rules. Franking credits can potentially be attached to the dividend component. </w:t>
      </w:r>
    </w:p>
    <w:p w14:paraId="39B14852" w14:textId="77777777" w:rsidR="004852D1" w:rsidRDefault="004852D1" w:rsidP="00FA5086"/>
    <w:p w14:paraId="062561C3" w14:textId="03F43421" w:rsidR="004627B2" w:rsidRDefault="00E96B26" w:rsidP="00FA5086">
      <w:r>
        <w:t xml:space="preserve">On the other hand, when a listed company undertakes an on-market buy-back the full proceeds are </w:t>
      </w:r>
      <w:r w:rsidR="004852D1">
        <w:t xml:space="preserve">generally </w:t>
      </w:r>
      <w:r>
        <w:t xml:space="preserve">taxed under the CGT rules and franking credits cannot be </w:t>
      </w:r>
      <w:r w:rsidR="004627B2">
        <w:t xml:space="preserve">passed onto the shareholders. </w:t>
      </w:r>
    </w:p>
    <w:p w14:paraId="0EBD6FB3" w14:textId="77777777" w:rsidR="004627B2" w:rsidRDefault="004627B2" w:rsidP="00FA5086"/>
    <w:p w14:paraId="75C8ABC9" w14:textId="49484777" w:rsidR="005E64F1" w:rsidRDefault="002263C4" w:rsidP="00FA5086">
      <w:r>
        <w:t xml:space="preserve">Off-market buy-backs potentially </w:t>
      </w:r>
      <w:r w:rsidR="00D77877">
        <w:t xml:space="preserve">offer a tax advantage </w:t>
      </w:r>
      <w:r w:rsidR="00851A6D">
        <w:t xml:space="preserve">to </w:t>
      </w:r>
      <w:r>
        <w:t xml:space="preserve">low-taxed </w:t>
      </w:r>
      <w:r w:rsidR="00851A6D">
        <w:t>shareholder</w:t>
      </w:r>
      <w:r>
        <w:t>s</w:t>
      </w:r>
      <w:r w:rsidR="00851A6D">
        <w:t xml:space="preserve"> </w:t>
      </w:r>
      <w:r>
        <w:t>such as superannuation funds</w:t>
      </w:r>
      <w:r w:rsidR="0081305C">
        <w:t xml:space="preserve">. It appears that the Government has become concerned that the </w:t>
      </w:r>
      <w:r w:rsidR="0081305C">
        <w:lastRenderedPageBreak/>
        <w:t xml:space="preserve">difference </w:t>
      </w:r>
      <w:r w:rsidR="004852D1">
        <w:t>in the tax treatment between on-market and off-market buy-backs has been exploited</w:t>
      </w:r>
      <w:r w:rsidR="00807773">
        <w:t xml:space="preserve"> inappropriately.</w:t>
      </w:r>
    </w:p>
    <w:p w14:paraId="4C30DAE3" w14:textId="77777777" w:rsidR="00D77877" w:rsidRDefault="00D77877" w:rsidP="00FA5086"/>
    <w:p w14:paraId="64FA0A1F" w14:textId="1A94DA39" w:rsidR="00D77877" w:rsidRDefault="00806838" w:rsidP="00FA5086">
      <w:r w:rsidRPr="00806838">
        <w:t>The</w:t>
      </w:r>
      <w:r>
        <w:t xml:space="preserve"> Budget measure </w:t>
      </w:r>
      <w:r w:rsidR="00807773">
        <w:t xml:space="preserve">only refers to listed public companies which presumably means that the current tax treatment for off-market buy-backs undertaken by </w:t>
      </w:r>
      <w:r w:rsidR="00D550D5">
        <w:t>private companies and public companies that are not listed will continue to apply</w:t>
      </w:r>
      <w:r w:rsidR="00807773">
        <w:t xml:space="preserve">. </w:t>
      </w:r>
    </w:p>
    <w:p w14:paraId="0F173463" w14:textId="058AE0AE" w:rsidR="00806838" w:rsidRDefault="00806838" w:rsidP="00FA5086"/>
    <w:p w14:paraId="6E10267F" w14:textId="7A522402" w:rsidR="00E14C8F" w:rsidRDefault="00806838" w:rsidP="00FA5086">
      <w:r>
        <w:t xml:space="preserve">While this measure is yet to legislated, </w:t>
      </w:r>
      <w:r w:rsidR="006562C2">
        <w:t xml:space="preserve">with a Budget night implementation date, </w:t>
      </w:r>
      <w:r w:rsidR="00486241">
        <w:t xml:space="preserve">this could have an immediate tax impact on the treatment of new </w:t>
      </w:r>
      <w:r w:rsidR="006562C2">
        <w:t xml:space="preserve">off-market </w:t>
      </w:r>
      <w:r w:rsidR="00486241">
        <w:t xml:space="preserve">share </w:t>
      </w:r>
      <w:r w:rsidR="006562C2">
        <w:t>buy</w:t>
      </w:r>
      <w:r w:rsidR="00486241">
        <w:t>-</w:t>
      </w:r>
      <w:r w:rsidR="006562C2">
        <w:t>backs.</w:t>
      </w:r>
    </w:p>
    <w:p w14:paraId="766D4358" w14:textId="6152A598" w:rsidR="006610CF" w:rsidRDefault="002853A9" w:rsidP="006610CF">
      <w:pPr>
        <w:pStyle w:val="Heading2"/>
      </w:pPr>
      <w:bookmarkStart w:id="18" w:name="_Toc117667179"/>
      <w:r>
        <w:t>‘</w:t>
      </w:r>
      <w:r w:rsidR="006610CF">
        <w:t>Downsizer</w:t>
      </w:r>
      <w:r>
        <w:t>’</w:t>
      </w:r>
      <w:r w:rsidR="006610CF">
        <w:t xml:space="preserve"> eligibility reduced to 55</w:t>
      </w:r>
      <w:bookmarkEnd w:id="18"/>
      <w:r w:rsidR="006610CF">
        <w:t xml:space="preserve"> </w:t>
      </w:r>
    </w:p>
    <w:tbl>
      <w:tblPr>
        <w:tblStyle w:val="TableContemporary"/>
        <w:tblW w:w="0" w:type="auto"/>
        <w:tblLook w:val="0400" w:firstRow="0" w:lastRow="0" w:firstColumn="0" w:lastColumn="0" w:noHBand="0" w:noVBand="1"/>
      </w:tblPr>
      <w:tblGrid>
        <w:gridCol w:w="988"/>
        <w:gridCol w:w="3183"/>
      </w:tblGrid>
      <w:tr w:rsidR="006610CF" w:rsidRPr="0052217A" w14:paraId="68C283EF" w14:textId="77777777" w:rsidTr="00E90C85">
        <w:trPr>
          <w:cnfStyle w:val="000000100000" w:firstRow="0" w:lastRow="0" w:firstColumn="0" w:lastColumn="0" w:oddVBand="0" w:evenVBand="0" w:oddHBand="1" w:evenHBand="0" w:firstRowFirstColumn="0" w:firstRowLastColumn="0" w:lastRowFirstColumn="0" w:lastRowLastColumn="0"/>
        </w:trPr>
        <w:tc>
          <w:tcPr>
            <w:tcW w:w="988" w:type="dxa"/>
          </w:tcPr>
          <w:p w14:paraId="5887B0F8" w14:textId="77777777" w:rsidR="006610CF" w:rsidRPr="0052217A" w:rsidRDefault="006610CF" w:rsidP="00E90C85">
            <w:pPr>
              <w:rPr>
                <w:b/>
                <w:bCs/>
                <w:sz w:val="20"/>
              </w:rPr>
            </w:pPr>
            <w:r w:rsidRPr="0052217A">
              <w:rPr>
                <w:b/>
                <w:bCs/>
                <w:sz w:val="20"/>
              </w:rPr>
              <w:t>From</w:t>
            </w:r>
          </w:p>
        </w:tc>
        <w:tc>
          <w:tcPr>
            <w:tcW w:w="3184" w:type="dxa"/>
          </w:tcPr>
          <w:p w14:paraId="689CF727" w14:textId="69047DD0" w:rsidR="006610CF" w:rsidRPr="0052217A" w:rsidRDefault="006610CF" w:rsidP="00E90C85">
            <w:pPr>
              <w:rPr>
                <w:sz w:val="20"/>
              </w:rPr>
            </w:pPr>
            <w:r>
              <w:rPr>
                <w:sz w:val="20"/>
              </w:rPr>
              <w:t>First quarter after Royal Assent</w:t>
            </w:r>
          </w:p>
        </w:tc>
      </w:tr>
    </w:tbl>
    <w:p w14:paraId="012EE7FA" w14:textId="37817341" w:rsidR="002853A9" w:rsidRDefault="002853A9" w:rsidP="002853A9">
      <w:pPr>
        <w:rPr>
          <w:lang w:val="en-GB"/>
        </w:rPr>
      </w:pPr>
    </w:p>
    <w:p w14:paraId="7C2F5A2E" w14:textId="16D4D461" w:rsidR="002853A9" w:rsidRDefault="002853A9" w:rsidP="002853A9">
      <w:pPr>
        <w:rPr>
          <w:lang w:val="en-GB"/>
        </w:rPr>
      </w:pPr>
      <w:r>
        <w:rPr>
          <w:lang w:val="en-GB"/>
        </w:rPr>
        <w:t xml:space="preserve">As previously announced, the Government will reduce the age an </w:t>
      </w:r>
      <w:r w:rsidRPr="002853A9">
        <w:rPr>
          <w:lang w:val="en-GB"/>
        </w:rPr>
        <w:t>individual</w:t>
      </w:r>
      <w:r>
        <w:rPr>
          <w:lang w:val="en-GB"/>
        </w:rPr>
        <w:t xml:space="preserve"> can make a ‘downsizer’ contribution to superannuation from the current 60 years to 55 years of age.</w:t>
      </w:r>
    </w:p>
    <w:p w14:paraId="79539F37" w14:textId="77777777" w:rsidR="002853A9" w:rsidRDefault="002853A9" w:rsidP="002853A9">
      <w:pPr>
        <w:rPr>
          <w:lang w:val="en-GB"/>
        </w:rPr>
      </w:pPr>
    </w:p>
    <w:p w14:paraId="50A3782F" w14:textId="68077561" w:rsidR="002853A9" w:rsidRDefault="002853A9" w:rsidP="002853A9">
      <w:pPr>
        <w:rPr>
          <w:lang w:val="en-GB"/>
        </w:rPr>
      </w:pPr>
      <w:r>
        <w:rPr>
          <w:lang w:val="en-GB"/>
        </w:rPr>
        <w:t>Currently,</w:t>
      </w:r>
      <w:r w:rsidRPr="002853A9">
        <w:rPr>
          <w:lang w:val="en-GB"/>
        </w:rPr>
        <w:t xml:space="preserve"> eligible individuals aged 60 years or older can choose to make a ‘downsizer contribution’ into their superannuation of up to $300,000 per person ($600,000 per couple) from the proceeds of selling their home. </w:t>
      </w:r>
    </w:p>
    <w:p w14:paraId="2A468B73" w14:textId="77777777" w:rsidR="002853A9" w:rsidRPr="002853A9" w:rsidRDefault="002853A9" w:rsidP="002853A9">
      <w:pPr>
        <w:rPr>
          <w:lang w:val="en-GB"/>
        </w:rPr>
      </w:pPr>
    </w:p>
    <w:p w14:paraId="05B8FD6C" w14:textId="02B878A2" w:rsidR="006610CF" w:rsidRDefault="002853A9" w:rsidP="002853A9">
      <w:pPr>
        <w:rPr>
          <w:lang w:val="en-GB"/>
        </w:rPr>
      </w:pPr>
      <w:r w:rsidRPr="002853A9">
        <w:rPr>
          <w:lang w:val="en-GB"/>
        </w:rPr>
        <w:t>Downsizer contributions can be made from the sale of your principal residence in Australia that you have owned for the past ten or more years. These contributions are excluded from the age test, work test, and your total superannuation balance (but not exempt from your transfer balance cap).</w:t>
      </w:r>
    </w:p>
    <w:p w14:paraId="79F8941F" w14:textId="5E6FE0FA" w:rsidR="002853A9" w:rsidRDefault="002853A9" w:rsidP="002853A9">
      <w:pPr>
        <w:rPr>
          <w:lang w:val="en-GB"/>
        </w:rPr>
      </w:pPr>
    </w:p>
    <w:p w14:paraId="0516B3CF" w14:textId="2BA87E92" w:rsidR="002853A9" w:rsidRDefault="002853A9" w:rsidP="002853A9">
      <w:pPr>
        <w:rPr>
          <w:lang w:val="en-GB"/>
        </w:rPr>
      </w:pPr>
      <w:r>
        <w:rPr>
          <w:lang w:val="en-GB"/>
        </w:rPr>
        <w:t xml:space="preserve">Legislation enabling the expanding eligibility for downsizer contributions is currently before Parliament.  </w:t>
      </w:r>
    </w:p>
    <w:p w14:paraId="1EDD6A31" w14:textId="6EAB4F00" w:rsidR="00E14C8F" w:rsidRDefault="002853A9" w:rsidP="00E14C8F">
      <w:pPr>
        <w:pStyle w:val="Heading2"/>
      </w:pPr>
      <w:bookmarkStart w:id="19" w:name="_Toc117667180"/>
      <w:r w:rsidRPr="002853A9">
        <w:rPr>
          <w:color w:val="E84531"/>
        </w:rPr>
        <w:t xml:space="preserve">Delayed </w:t>
      </w:r>
      <w:r w:rsidR="001E256D">
        <w:t>R</w:t>
      </w:r>
      <w:r w:rsidR="00E14C8F">
        <w:t xml:space="preserve">elaxation of </w:t>
      </w:r>
      <w:r w:rsidR="001E256D">
        <w:t xml:space="preserve">SMSF </w:t>
      </w:r>
      <w:r w:rsidR="00E14C8F">
        <w:t>residency requirements</w:t>
      </w:r>
      <w:bookmarkEnd w:id="19"/>
    </w:p>
    <w:p w14:paraId="2B117EF0" w14:textId="5688A9B3" w:rsidR="001E256D" w:rsidRDefault="00E14C8F" w:rsidP="001E256D">
      <w:r>
        <w:t xml:space="preserve">The </w:t>
      </w:r>
      <w:r w:rsidR="001E256D">
        <w:t xml:space="preserve">2021-22 Budget announced that the residency rules for </w:t>
      </w:r>
      <w:r w:rsidR="00921847">
        <w:t>Self-Managed</w:t>
      </w:r>
      <w:r w:rsidR="001E256D">
        <w:t xml:space="preserve"> Superannuation Funds (SMSFs) and small APRA regulated funds (SAFs) will be relaxed by extending the central control and management test safe harbour from two to five years for SMSFs, and removing the active member test for both fund types. </w:t>
      </w:r>
    </w:p>
    <w:p w14:paraId="073DE947" w14:textId="37AC3F3E" w:rsidR="001E256D" w:rsidRDefault="001E256D" w:rsidP="001E256D"/>
    <w:p w14:paraId="1F777499" w14:textId="5B0D79A7" w:rsidR="00E14C8F" w:rsidRPr="00E14C8F" w:rsidRDefault="001E256D" w:rsidP="00E14C8F">
      <w:r>
        <w:t>This measure was due to commence from 1 July 2022. The Government ha</w:t>
      </w:r>
      <w:r w:rsidR="00BE7C55">
        <w:t>s</w:t>
      </w:r>
      <w:r>
        <w:t xml:space="preserve"> announced that </w:t>
      </w:r>
      <w:r w:rsidR="00BE7C55">
        <w:t>it</w:t>
      </w:r>
      <w:r>
        <w:t xml:space="preserve"> will defer the start date to the </w:t>
      </w:r>
      <w:r w:rsidR="006B41B8">
        <w:t xml:space="preserve">income year commencing on or after the </w:t>
      </w:r>
      <w:r>
        <w:t xml:space="preserve">date of </w:t>
      </w:r>
      <w:r w:rsidR="001966EB">
        <w:t>R</w:t>
      </w:r>
      <w:r>
        <w:t xml:space="preserve">oyal </w:t>
      </w:r>
      <w:r w:rsidR="001966EB">
        <w:t>A</w:t>
      </w:r>
      <w:r>
        <w:t xml:space="preserve">ssent of the </w:t>
      </w:r>
      <w:r w:rsidR="006B41B8">
        <w:t>enabling</w:t>
      </w:r>
      <w:r>
        <w:t xml:space="preserve"> legislation.</w:t>
      </w:r>
    </w:p>
    <w:p w14:paraId="0B781B5B" w14:textId="2F6CA17A" w:rsidR="00E61A4C" w:rsidRDefault="002853A9" w:rsidP="00E61A4C">
      <w:pPr>
        <w:pStyle w:val="Heading2"/>
      </w:pPr>
      <w:bookmarkStart w:id="20" w:name="_Toc117667181"/>
      <w:r w:rsidRPr="002853A9">
        <w:rPr>
          <w:color w:val="E84531"/>
        </w:rPr>
        <w:t xml:space="preserve">Scrapped </w:t>
      </w:r>
      <w:r w:rsidR="00E61A4C">
        <w:t>3 year SMSF audit requirement</w:t>
      </w:r>
      <w:bookmarkEnd w:id="20"/>
      <w:r w:rsidR="00E61A4C">
        <w:t xml:space="preserve"> </w:t>
      </w:r>
    </w:p>
    <w:p w14:paraId="7B84D2C8" w14:textId="4E2DAE4C" w:rsidR="00E61A4C" w:rsidRDefault="00E61A4C" w:rsidP="00E61A4C">
      <w:r>
        <w:t>Back in the 2018-19 Budget the Government announced that SMSFs with a history of good record-keeping and compliance – that is, three consecutive years of clear audit reports and annual returns lodged on time, will only be required to have their fund audited every three years.</w:t>
      </w:r>
    </w:p>
    <w:p w14:paraId="49846D61" w14:textId="77777777" w:rsidR="005F5E60" w:rsidRDefault="005F5E60" w:rsidP="00E61A4C"/>
    <w:p w14:paraId="05844D48" w14:textId="2F00F2E2" w:rsidR="00E61A4C" w:rsidRPr="00E61A4C" w:rsidRDefault="00E61A4C" w:rsidP="00E61A4C">
      <w:r>
        <w:t>The Government ha</w:t>
      </w:r>
      <w:r w:rsidR="001D3ED4">
        <w:t>s</w:t>
      </w:r>
      <w:r>
        <w:t xml:space="preserve"> now officially announced that this measure will not be proceeding.</w:t>
      </w:r>
    </w:p>
    <w:p w14:paraId="53F863F0" w14:textId="56056E2D" w:rsidR="006562C2" w:rsidRDefault="006562C2" w:rsidP="00FA5086"/>
    <w:p w14:paraId="35975496" w14:textId="77777777" w:rsidR="006562C2" w:rsidRDefault="006562C2" w:rsidP="006562C2">
      <w:pPr>
        <w:pStyle w:val="Heading2"/>
        <w:spacing w:before="0"/>
        <w:rPr>
          <w:lang w:val="en-GB"/>
        </w:rPr>
      </w:pPr>
      <w:bookmarkStart w:id="21" w:name="_Toc117667182"/>
      <w:r>
        <w:rPr>
          <w:lang w:val="en-GB"/>
        </w:rPr>
        <w:t>Cryptocurrency not a foreign currency</w:t>
      </w:r>
      <w:bookmarkEnd w:id="21"/>
    </w:p>
    <w:p w14:paraId="0994DE8E" w14:textId="77777777" w:rsidR="006562C2" w:rsidRDefault="006562C2" w:rsidP="006562C2">
      <w:pPr>
        <w:rPr>
          <w:lang w:val="en-GB"/>
        </w:rPr>
      </w:pPr>
      <w:r>
        <w:rPr>
          <w:lang w:val="en-GB"/>
        </w:rPr>
        <w:t xml:space="preserve">As previously flagged, the Government will legislate </w:t>
      </w:r>
      <w:r w:rsidRPr="00E176C3">
        <w:rPr>
          <w:lang w:val="en-GB"/>
        </w:rPr>
        <w:t>to clarify that digital currencies such as Bitcoin</w:t>
      </w:r>
      <w:r>
        <w:rPr>
          <w:lang w:val="en-GB"/>
        </w:rPr>
        <w:t xml:space="preserve"> will </w:t>
      </w:r>
      <w:r w:rsidRPr="00E176C3">
        <w:rPr>
          <w:lang w:val="en-GB"/>
        </w:rPr>
        <w:t>continue to be excluded from the Australian income tax treatment of foreign currency.</w:t>
      </w:r>
      <w:r>
        <w:rPr>
          <w:lang w:val="en-GB"/>
        </w:rPr>
        <w:t xml:space="preserve"> </w:t>
      </w:r>
      <w:r w:rsidRPr="00E176C3">
        <w:rPr>
          <w:lang w:val="en-GB"/>
        </w:rPr>
        <w:t>The exclusion does not apply to digital currencies issued by, or under the authority of, a government agency, which continue to be taxed as foreign currency.</w:t>
      </w:r>
    </w:p>
    <w:p w14:paraId="2F2A9BD1" w14:textId="56335B5A" w:rsidR="006562C2" w:rsidRDefault="006562C2" w:rsidP="006562C2">
      <w:pPr>
        <w:rPr>
          <w:lang w:val="en-GB"/>
        </w:rPr>
      </w:pPr>
    </w:p>
    <w:p w14:paraId="0B44799E" w14:textId="682469B3" w:rsidR="005F5E60" w:rsidRDefault="005F5E60" w:rsidP="006562C2">
      <w:pPr>
        <w:rPr>
          <w:lang w:val="en-GB"/>
        </w:rPr>
      </w:pPr>
    </w:p>
    <w:p w14:paraId="57F7E605" w14:textId="77777777" w:rsidR="005F5E60" w:rsidRDefault="005F5E60" w:rsidP="006562C2">
      <w:pPr>
        <w:rPr>
          <w:lang w:val="en-GB"/>
        </w:rPr>
      </w:pPr>
    </w:p>
    <w:tbl>
      <w:tblPr>
        <w:tblStyle w:val="TableContemporary"/>
        <w:tblW w:w="0" w:type="auto"/>
        <w:tblLook w:val="0400" w:firstRow="0" w:lastRow="0" w:firstColumn="0" w:lastColumn="0" w:noHBand="0" w:noVBand="1"/>
      </w:tblPr>
      <w:tblGrid>
        <w:gridCol w:w="4171"/>
      </w:tblGrid>
      <w:tr w:rsidR="006562C2" w14:paraId="1304855F" w14:textId="77777777" w:rsidTr="00E90C85">
        <w:trPr>
          <w:cnfStyle w:val="000000100000" w:firstRow="0" w:lastRow="0" w:firstColumn="0" w:lastColumn="0" w:oddVBand="0" w:evenVBand="0" w:oddHBand="1" w:evenHBand="0" w:firstRowFirstColumn="0" w:firstRowLastColumn="0" w:lastRowFirstColumn="0" w:lastRowLastColumn="0"/>
        </w:trPr>
        <w:tc>
          <w:tcPr>
            <w:tcW w:w="4172" w:type="dxa"/>
          </w:tcPr>
          <w:p w14:paraId="10A87D8A" w14:textId="77777777" w:rsidR="006562C2" w:rsidRPr="007971DC" w:rsidRDefault="006562C2" w:rsidP="00E90C85">
            <w:pPr>
              <w:rPr>
                <w:b/>
                <w:bCs/>
                <w:sz w:val="13"/>
                <w:szCs w:val="13"/>
              </w:rPr>
            </w:pPr>
          </w:p>
          <w:p w14:paraId="2AE4DE17" w14:textId="77777777" w:rsidR="006562C2" w:rsidRPr="007B1998" w:rsidRDefault="006562C2" w:rsidP="00E90C85">
            <w:pPr>
              <w:rPr>
                <w:b/>
                <w:bCs/>
                <w:sz w:val="20"/>
              </w:rPr>
            </w:pPr>
            <w:r w:rsidRPr="007B1998">
              <w:rPr>
                <w:b/>
                <w:bCs/>
                <w:sz w:val="20"/>
              </w:rPr>
              <w:t>Resources</w:t>
            </w:r>
          </w:p>
          <w:p w14:paraId="2928F2B9" w14:textId="77777777" w:rsidR="006562C2" w:rsidRDefault="006562C2" w:rsidP="00E90C85">
            <w:pPr>
              <w:pStyle w:val="ListParagraph"/>
            </w:pPr>
            <w:r>
              <w:t xml:space="preserve">Treasury </w:t>
            </w:r>
            <w:hyperlink r:id="rId17" w:history="1">
              <w:r w:rsidRPr="00E176C3">
                <w:rPr>
                  <w:rStyle w:val="Hyperlink"/>
                  <w:rFonts w:ascii="Calibri" w:hAnsi="Calibri"/>
                  <w:sz w:val="20"/>
                </w:rPr>
                <w:t>Clarifying crypto not taxed as a foreign currency</w:t>
              </w:r>
            </w:hyperlink>
            <w:r>
              <w:t xml:space="preserve"> </w:t>
            </w:r>
          </w:p>
          <w:p w14:paraId="4DD43447" w14:textId="77777777" w:rsidR="006562C2" w:rsidRPr="00EE6CFF" w:rsidRDefault="006562C2" w:rsidP="00E90C85">
            <w:pPr>
              <w:pStyle w:val="ListParagraph"/>
              <w:rPr>
                <w:rStyle w:val="Hyperlink"/>
                <w:rFonts w:ascii="Calibri" w:hAnsi="Calibri"/>
                <w:color w:val="1C2334"/>
                <w:sz w:val="20"/>
              </w:rPr>
            </w:pPr>
            <w:r>
              <w:t xml:space="preserve">Media Release </w:t>
            </w:r>
            <w:hyperlink r:id="rId18" w:history="1">
              <w:r w:rsidRPr="00E176C3">
                <w:rPr>
                  <w:rStyle w:val="Hyperlink"/>
                  <w:rFonts w:ascii="Calibri" w:hAnsi="Calibri"/>
                  <w:sz w:val="20"/>
                </w:rPr>
                <w:t>Crypto not taxed as foreign currency</w:t>
              </w:r>
            </w:hyperlink>
          </w:p>
          <w:p w14:paraId="22F458EF" w14:textId="4FBE2D14" w:rsidR="00EE6CFF" w:rsidRPr="00E176C3" w:rsidRDefault="00EE6CFF" w:rsidP="00EE6CFF">
            <w:pPr>
              <w:pStyle w:val="ListParagraph"/>
              <w:numPr>
                <w:ilvl w:val="0"/>
                <w:numId w:val="0"/>
              </w:numPr>
              <w:ind w:left="720"/>
            </w:pPr>
          </w:p>
        </w:tc>
      </w:tr>
    </w:tbl>
    <w:p w14:paraId="0952D54D" w14:textId="77777777" w:rsidR="00EE6CFF" w:rsidRDefault="00EE6CFF" w:rsidP="006562C2">
      <w:pPr>
        <w:rPr>
          <w:lang w:val="en-GB"/>
        </w:rPr>
      </w:pPr>
    </w:p>
    <w:p w14:paraId="3DCEC64E" w14:textId="1F7CEBE4" w:rsidR="00EE6CFF" w:rsidRDefault="00EE6CFF" w:rsidP="006562C2">
      <w:pPr>
        <w:rPr>
          <w:lang w:val="en-GB"/>
        </w:rPr>
      </w:pPr>
    </w:p>
    <w:p w14:paraId="6D73C197" w14:textId="37106782" w:rsidR="00C347EF" w:rsidRDefault="002E78B7" w:rsidP="00433212">
      <w:pPr>
        <w:pStyle w:val="Heading1"/>
      </w:pPr>
      <w:bookmarkStart w:id="22" w:name="_Toc71694164"/>
      <w:bookmarkStart w:id="23" w:name="_Toc117667183"/>
      <w:r>
        <w:t>Business</w:t>
      </w:r>
      <w:r w:rsidR="008F5EF2">
        <w:t xml:space="preserve"> &amp; </w:t>
      </w:r>
      <w:r>
        <w:t>employer</w:t>
      </w:r>
      <w:bookmarkEnd w:id="22"/>
      <w:r w:rsidR="00D65568">
        <w:t>s</w:t>
      </w:r>
      <w:bookmarkEnd w:id="23"/>
    </w:p>
    <w:p w14:paraId="3E47D96B" w14:textId="57CFE4C2" w:rsidR="00F127F5" w:rsidRDefault="00BA79F5" w:rsidP="00616BAB">
      <w:pPr>
        <w:pStyle w:val="Heading2"/>
        <w:spacing w:before="0"/>
      </w:pPr>
      <w:bookmarkStart w:id="24" w:name="_Toc117667184"/>
      <w:r w:rsidRPr="00FA5086">
        <w:rPr>
          <w:color w:val="E84531"/>
        </w:rPr>
        <w:t xml:space="preserve">Removed </w:t>
      </w:r>
      <w:r>
        <w:t>Self-assessment of intangible assets</w:t>
      </w:r>
      <w:bookmarkEnd w:id="24"/>
    </w:p>
    <w:p w14:paraId="6FED123A" w14:textId="1CD7550B" w:rsidR="00BA79F5" w:rsidRDefault="00BA79F5" w:rsidP="00BA79F5">
      <w:r>
        <w:t xml:space="preserve">Announced in the 2021-22 Budget and due to commence on 1 July 2023, the measure enabling </w:t>
      </w:r>
      <w:r w:rsidRPr="00BA79F5">
        <w:t>taxpayers to self-assess the effective life of certain intangible assets, rather than being required to use the effective life currently prescribed by statute</w:t>
      </w:r>
      <w:r>
        <w:t>, has been removed.</w:t>
      </w:r>
    </w:p>
    <w:p w14:paraId="17DABDC5" w14:textId="6F2DC957" w:rsidR="00BA79F5" w:rsidRDefault="00BA79F5" w:rsidP="00BA79F5"/>
    <w:p w14:paraId="082C44B0" w14:textId="527286AA" w:rsidR="0011655D" w:rsidRDefault="00BA79F5" w:rsidP="00BA79F5">
      <w:r>
        <w:t>The measure was to</w:t>
      </w:r>
      <w:r w:rsidRPr="00BA79F5">
        <w:t xml:space="preserve"> appl</w:t>
      </w:r>
      <w:r>
        <w:t>y</w:t>
      </w:r>
      <w:r w:rsidRPr="00BA79F5">
        <w:t xml:space="preserve"> to assets acquired from 1 July 2023 including patents, registered designs, copyrights and in-house software. </w:t>
      </w:r>
    </w:p>
    <w:p w14:paraId="275504F8" w14:textId="06554FA3" w:rsidR="0011655D" w:rsidRDefault="0011655D" w:rsidP="0011655D">
      <w:pPr>
        <w:pStyle w:val="Heading2"/>
      </w:pPr>
      <w:bookmarkStart w:id="25" w:name="_Toc117667185"/>
      <w:r>
        <w:t>Dramatic jump in penalties for competition and consumer law breaches</w:t>
      </w:r>
      <w:bookmarkEnd w:id="25"/>
    </w:p>
    <w:tbl>
      <w:tblPr>
        <w:tblStyle w:val="TableContemporary"/>
        <w:tblW w:w="0" w:type="auto"/>
        <w:tblLook w:val="0400" w:firstRow="0" w:lastRow="0" w:firstColumn="0" w:lastColumn="0" w:noHBand="0" w:noVBand="1"/>
      </w:tblPr>
      <w:tblGrid>
        <w:gridCol w:w="988"/>
        <w:gridCol w:w="3183"/>
      </w:tblGrid>
      <w:tr w:rsidR="00D15042" w:rsidRPr="0052217A" w14:paraId="6BB7D28B" w14:textId="77777777" w:rsidTr="00E90C85">
        <w:trPr>
          <w:cnfStyle w:val="000000100000" w:firstRow="0" w:lastRow="0" w:firstColumn="0" w:lastColumn="0" w:oddVBand="0" w:evenVBand="0" w:oddHBand="1" w:evenHBand="0" w:firstRowFirstColumn="0" w:firstRowLastColumn="0" w:lastRowFirstColumn="0" w:lastRowLastColumn="0"/>
        </w:trPr>
        <w:tc>
          <w:tcPr>
            <w:tcW w:w="988" w:type="dxa"/>
          </w:tcPr>
          <w:p w14:paraId="4FD6FCB9" w14:textId="77777777" w:rsidR="00D15042" w:rsidRPr="0052217A" w:rsidRDefault="00D15042" w:rsidP="00E90C85">
            <w:pPr>
              <w:rPr>
                <w:b/>
                <w:bCs/>
                <w:sz w:val="20"/>
              </w:rPr>
            </w:pPr>
            <w:r w:rsidRPr="0052217A">
              <w:rPr>
                <w:b/>
                <w:bCs/>
                <w:sz w:val="20"/>
              </w:rPr>
              <w:t>From</w:t>
            </w:r>
          </w:p>
        </w:tc>
        <w:tc>
          <w:tcPr>
            <w:tcW w:w="3184" w:type="dxa"/>
          </w:tcPr>
          <w:p w14:paraId="05AA2771" w14:textId="77777777" w:rsidR="00D15042" w:rsidRPr="0052217A" w:rsidRDefault="00D15042" w:rsidP="00E90C85">
            <w:pPr>
              <w:rPr>
                <w:sz w:val="20"/>
              </w:rPr>
            </w:pPr>
            <w:r>
              <w:rPr>
                <w:sz w:val="20"/>
              </w:rPr>
              <w:t xml:space="preserve">2022-23 financial year </w:t>
            </w:r>
          </w:p>
        </w:tc>
      </w:tr>
    </w:tbl>
    <w:p w14:paraId="11DCE4A1" w14:textId="77777777" w:rsidR="00D15042" w:rsidRPr="00D15042" w:rsidRDefault="00D15042" w:rsidP="00D15042"/>
    <w:p w14:paraId="4E08E730" w14:textId="1D710188" w:rsidR="00C37D71" w:rsidRDefault="0011655D" w:rsidP="00BA79F5">
      <w:r>
        <w:t xml:space="preserve">From the 2022-23 year, the penalties for </w:t>
      </w:r>
      <w:r w:rsidR="00D15042">
        <w:t xml:space="preserve">a corporation </w:t>
      </w:r>
      <w:r>
        <w:t>breach</w:t>
      </w:r>
      <w:r w:rsidR="00D15042">
        <w:t>ing</w:t>
      </w:r>
      <w:r>
        <w:t xml:space="preserve"> </w:t>
      </w:r>
      <w:r w:rsidRPr="0011655D">
        <w:t>competition and consumer law</w:t>
      </w:r>
      <w:r w:rsidR="00D15042">
        <w:t>s</w:t>
      </w:r>
      <w:r>
        <w:t xml:space="preserve"> will increase sharply from a maximum of $10m to a maximum of $50m per breach</w:t>
      </w:r>
      <w:r w:rsidR="00D15042">
        <w:t>, and from 10% of annual turnover to 30% of turnover (whichever is greater) during the period the breach took place.</w:t>
      </w:r>
    </w:p>
    <w:p w14:paraId="4C7F7E59" w14:textId="57B08C89" w:rsidR="007404A8" w:rsidRDefault="005F5E60" w:rsidP="007404A8">
      <w:pPr>
        <w:pStyle w:val="Heading2"/>
      </w:pPr>
      <w:r>
        <w:br w:type="column"/>
      </w:r>
      <w:bookmarkStart w:id="26" w:name="_Toc117667186"/>
      <w:r w:rsidR="007404A8">
        <w:t>Energy efficiency grants for SMEs</w:t>
      </w:r>
      <w:bookmarkEnd w:id="26"/>
    </w:p>
    <w:tbl>
      <w:tblPr>
        <w:tblStyle w:val="TableContemporary"/>
        <w:tblW w:w="0" w:type="auto"/>
        <w:tblLook w:val="0400" w:firstRow="0" w:lastRow="0" w:firstColumn="0" w:lastColumn="0" w:noHBand="0" w:noVBand="1"/>
      </w:tblPr>
      <w:tblGrid>
        <w:gridCol w:w="988"/>
        <w:gridCol w:w="3183"/>
      </w:tblGrid>
      <w:tr w:rsidR="007404A8" w:rsidRPr="0052217A" w14:paraId="6A42D100" w14:textId="77777777" w:rsidTr="00E90C85">
        <w:trPr>
          <w:cnfStyle w:val="000000100000" w:firstRow="0" w:lastRow="0" w:firstColumn="0" w:lastColumn="0" w:oddVBand="0" w:evenVBand="0" w:oddHBand="1" w:evenHBand="0" w:firstRowFirstColumn="0" w:firstRowLastColumn="0" w:lastRowFirstColumn="0" w:lastRowLastColumn="0"/>
        </w:trPr>
        <w:tc>
          <w:tcPr>
            <w:tcW w:w="988" w:type="dxa"/>
          </w:tcPr>
          <w:p w14:paraId="370D9176" w14:textId="77777777" w:rsidR="007404A8" w:rsidRPr="0052217A" w:rsidRDefault="007404A8" w:rsidP="00E90C85">
            <w:pPr>
              <w:rPr>
                <w:b/>
                <w:bCs/>
                <w:sz w:val="20"/>
              </w:rPr>
            </w:pPr>
            <w:r w:rsidRPr="0052217A">
              <w:rPr>
                <w:b/>
                <w:bCs/>
                <w:sz w:val="20"/>
              </w:rPr>
              <w:t>From</w:t>
            </w:r>
          </w:p>
        </w:tc>
        <w:tc>
          <w:tcPr>
            <w:tcW w:w="3184" w:type="dxa"/>
          </w:tcPr>
          <w:p w14:paraId="1E923688" w14:textId="77777777" w:rsidR="007404A8" w:rsidRPr="0052217A" w:rsidRDefault="007404A8" w:rsidP="00E90C85">
            <w:pPr>
              <w:rPr>
                <w:sz w:val="20"/>
              </w:rPr>
            </w:pPr>
            <w:r>
              <w:rPr>
                <w:sz w:val="20"/>
              </w:rPr>
              <w:t xml:space="preserve">2022-23 financial year </w:t>
            </w:r>
          </w:p>
        </w:tc>
      </w:tr>
    </w:tbl>
    <w:p w14:paraId="5B30B98B" w14:textId="6DC784AF" w:rsidR="00E82163" w:rsidRPr="007404A8" w:rsidRDefault="007404A8" w:rsidP="00E823BF">
      <w:r>
        <w:t xml:space="preserve">The Government </w:t>
      </w:r>
      <w:r w:rsidR="00E823BF">
        <w:t>will provide</w:t>
      </w:r>
      <w:r>
        <w:t xml:space="preserve"> $62.6m over 3 years from 2022-23 to help small and medium business </w:t>
      </w:r>
      <w:r w:rsidRPr="007404A8">
        <w:t>fund</w:t>
      </w:r>
      <w:r w:rsidR="001C5818">
        <w:t xml:space="preserve"> </w:t>
      </w:r>
      <w:r w:rsidRPr="007404A8">
        <w:t>energy efficient equipment upgrades.</w:t>
      </w:r>
      <w:r>
        <w:t xml:space="preserve"> </w:t>
      </w:r>
      <w:r w:rsidR="00E823BF">
        <w:t>The funding will support studies, planning, equipment and facility upgrade projects that will improve energy efficiency, reduce emissions or improve the management of power demand. No details of the grants are currently available.</w:t>
      </w:r>
    </w:p>
    <w:p w14:paraId="4EFAAE4F" w14:textId="49FED651" w:rsidR="002E111B" w:rsidRDefault="00817F0C" w:rsidP="002E111B">
      <w:pPr>
        <w:pStyle w:val="Heading2"/>
      </w:pPr>
      <w:bookmarkStart w:id="27" w:name="_Toc117667187"/>
      <w:r w:rsidRPr="00817F0C">
        <w:rPr>
          <w:color w:val="E84531"/>
        </w:rPr>
        <w:t>Del</w:t>
      </w:r>
      <w:r>
        <w:rPr>
          <w:color w:val="E84531"/>
        </w:rPr>
        <w:t>a</w:t>
      </w:r>
      <w:r w:rsidRPr="00817F0C">
        <w:rPr>
          <w:color w:val="E84531"/>
        </w:rPr>
        <w:t xml:space="preserve">yed </w:t>
      </w:r>
      <w:r w:rsidR="002E111B">
        <w:t xml:space="preserve">Ridesharing </w:t>
      </w:r>
      <w:r w:rsidR="002E111B" w:rsidRPr="002E111B">
        <w:t>reporting</w:t>
      </w:r>
      <w:r w:rsidR="002E111B">
        <w:t xml:space="preserve"> requirements</w:t>
      </w:r>
      <w:bookmarkEnd w:id="27"/>
      <w:r w:rsidR="002E111B">
        <w:t xml:space="preserve"> </w:t>
      </w:r>
    </w:p>
    <w:p w14:paraId="2743C70D" w14:textId="3E2AFE9F" w:rsidR="00693099" w:rsidRDefault="00693099" w:rsidP="00693099">
      <w:r>
        <w:t>In the 2019-20 Mid Year Economic and Fiscal Outlook (MYEFO), new reporting measures were announced requiring sharing economy online platforms to report identification and income information on participating sellers to the ATO for data matching purposes. These measures have now been delayed from:</w:t>
      </w:r>
    </w:p>
    <w:p w14:paraId="215F741E" w14:textId="77777777" w:rsidR="00693099" w:rsidRDefault="00693099" w:rsidP="00693099"/>
    <w:p w14:paraId="177A1FA6" w14:textId="77777777" w:rsidR="00693099" w:rsidRDefault="00693099" w:rsidP="00693099">
      <w:pPr>
        <w:pStyle w:val="ListParagraph"/>
      </w:pPr>
      <w:r>
        <w:t>1 July 2022 to 1 July 2023 for transactions relating to the supply of ride sourcing and short-term accommodation, and</w:t>
      </w:r>
    </w:p>
    <w:p w14:paraId="6103E7AC" w14:textId="53042A30" w:rsidR="002E111B" w:rsidRPr="002E111B" w:rsidRDefault="00693099" w:rsidP="002E111B">
      <w:pPr>
        <w:pStyle w:val="ListParagraph"/>
      </w:pPr>
      <w:r>
        <w:t>1 July 2023 to 1 July 2024 for all other reportable transactions (including but not limited to asset sharing, food delivery and tasking-based services).</w:t>
      </w:r>
    </w:p>
    <w:p w14:paraId="7B9180E2" w14:textId="7ABD402B" w:rsidR="00DD764A" w:rsidRDefault="00DD764A" w:rsidP="00DD764A">
      <w:pPr>
        <w:pStyle w:val="Heading2"/>
      </w:pPr>
      <w:bookmarkStart w:id="28" w:name="_Toc117667188"/>
      <w:r>
        <w:t>Thin cap rules introduce earnings based test</w:t>
      </w:r>
      <w:bookmarkEnd w:id="28"/>
    </w:p>
    <w:tbl>
      <w:tblPr>
        <w:tblStyle w:val="TableContemporary"/>
        <w:tblW w:w="0" w:type="auto"/>
        <w:tblLook w:val="0400" w:firstRow="0" w:lastRow="0" w:firstColumn="0" w:lastColumn="0" w:noHBand="0" w:noVBand="1"/>
      </w:tblPr>
      <w:tblGrid>
        <w:gridCol w:w="988"/>
        <w:gridCol w:w="3183"/>
      </w:tblGrid>
      <w:tr w:rsidR="00DD764A" w:rsidRPr="0052217A" w14:paraId="7F6E6478" w14:textId="77777777" w:rsidTr="00E90C85">
        <w:trPr>
          <w:cnfStyle w:val="000000100000" w:firstRow="0" w:lastRow="0" w:firstColumn="0" w:lastColumn="0" w:oddVBand="0" w:evenVBand="0" w:oddHBand="1" w:evenHBand="0" w:firstRowFirstColumn="0" w:firstRowLastColumn="0" w:lastRowFirstColumn="0" w:lastRowLastColumn="0"/>
        </w:trPr>
        <w:tc>
          <w:tcPr>
            <w:tcW w:w="988" w:type="dxa"/>
          </w:tcPr>
          <w:p w14:paraId="28C82592" w14:textId="77777777" w:rsidR="00DD764A" w:rsidRPr="0052217A" w:rsidRDefault="00DD764A" w:rsidP="00E90C85">
            <w:pPr>
              <w:rPr>
                <w:b/>
                <w:bCs/>
                <w:sz w:val="20"/>
              </w:rPr>
            </w:pPr>
            <w:r w:rsidRPr="0052217A">
              <w:rPr>
                <w:b/>
                <w:bCs/>
                <w:sz w:val="20"/>
              </w:rPr>
              <w:t>From</w:t>
            </w:r>
          </w:p>
        </w:tc>
        <w:tc>
          <w:tcPr>
            <w:tcW w:w="3184" w:type="dxa"/>
          </w:tcPr>
          <w:p w14:paraId="21561B9F" w14:textId="2E65468E" w:rsidR="00DD764A" w:rsidRPr="0052217A" w:rsidRDefault="00DD764A" w:rsidP="00E90C85">
            <w:pPr>
              <w:rPr>
                <w:sz w:val="20"/>
              </w:rPr>
            </w:pPr>
            <w:r>
              <w:rPr>
                <w:sz w:val="20"/>
              </w:rPr>
              <w:t xml:space="preserve">1 July 2023 </w:t>
            </w:r>
          </w:p>
        </w:tc>
      </w:tr>
    </w:tbl>
    <w:p w14:paraId="49115B43" w14:textId="0D65D701" w:rsidR="00DD764A" w:rsidRDefault="00DD764A" w:rsidP="00DD764A"/>
    <w:p w14:paraId="16F5EA80" w14:textId="71004122" w:rsidR="00DD764A" w:rsidRDefault="00DD764A" w:rsidP="00DD764A">
      <w:r>
        <w:t>The thin capitalisation rules</w:t>
      </w:r>
      <w:r w:rsidR="00D87890">
        <w:t>,</w:t>
      </w:r>
      <w:r>
        <w:t xml:space="preserve"> </w:t>
      </w:r>
      <w:r w:rsidR="00DF1AB5">
        <w:t xml:space="preserve">which can potentially </w:t>
      </w:r>
      <w:r>
        <w:t xml:space="preserve">limit </w:t>
      </w:r>
      <w:r w:rsidR="00DF1AB5">
        <w:t xml:space="preserve">the amount that can be </w:t>
      </w:r>
      <w:r w:rsidR="006C6A2A">
        <w:t xml:space="preserve">claimed for </w:t>
      </w:r>
      <w:r>
        <w:t>debt deductions</w:t>
      </w:r>
      <w:r w:rsidR="00DF1AB5">
        <w:t xml:space="preserve"> such as interest</w:t>
      </w:r>
      <w:r w:rsidR="00D87890">
        <w:t>,</w:t>
      </w:r>
      <w:r w:rsidR="006C6A2A">
        <w:t xml:space="preserve"> will be amended. The Government will </w:t>
      </w:r>
      <w:r>
        <w:t>replac</w:t>
      </w:r>
      <w:r w:rsidR="006C6A2A">
        <w:t>e</w:t>
      </w:r>
      <w:r>
        <w:t xml:space="preserve"> the current safe harbour and worldwide gearing tests with earnings-based tests to limit debt deductions in line with an entity’s profits.</w:t>
      </w:r>
    </w:p>
    <w:p w14:paraId="527F9BCE" w14:textId="6F57CBC7" w:rsidR="0011003A" w:rsidRDefault="0011003A" w:rsidP="0011003A">
      <w:r>
        <w:lastRenderedPageBreak/>
        <w:t>Applying to multinational entities operating in Australia and any inward or outward investor, in line with the existing thin capitalisation regime, the measures will:</w:t>
      </w:r>
    </w:p>
    <w:p w14:paraId="16317DB8" w14:textId="77777777" w:rsidR="0011003A" w:rsidRDefault="0011003A" w:rsidP="0011003A"/>
    <w:p w14:paraId="21070D85" w14:textId="0C3040FC" w:rsidR="0011003A" w:rsidRDefault="0011003A" w:rsidP="0011003A">
      <w:pPr>
        <w:pStyle w:val="ListParagraph"/>
      </w:pPr>
      <w:r>
        <w:t>Limit an entity’s debt-related deductions to 30 per cent of profits (using EBITDA as the measure of profit). This new earnings-based test will replace the safe harbour test</w:t>
      </w:r>
      <w:r w:rsidR="00E723E4">
        <w:t>.</w:t>
      </w:r>
    </w:p>
    <w:p w14:paraId="19DCD3A8" w14:textId="690F8E89" w:rsidR="0011003A" w:rsidRDefault="0011003A" w:rsidP="0011003A">
      <w:pPr>
        <w:pStyle w:val="ListParagraph"/>
      </w:pPr>
      <w:r>
        <w:t>Allow deductions denied under the entity-level EBITDA test (interest expense amounts exceeding the 3% EBITDA ratio) to be carried forward and claimed in a subsequent income year (up to 15 years)</w:t>
      </w:r>
      <w:r w:rsidR="00E723E4">
        <w:t>.</w:t>
      </w:r>
    </w:p>
    <w:p w14:paraId="76BFB447" w14:textId="094C70B6" w:rsidR="0011003A" w:rsidRDefault="00156282" w:rsidP="0011003A">
      <w:pPr>
        <w:pStyle w:val="ListParagraph"/>
      </w:pPr>
      <w:r>
        <w:t>A</w:t>
      </w:r>
      <w:r w:rsidR="0011003A">
        <w:t>llow an entity in a group to claim debt-related deductions up to the level of the worldwide group’s net interest expense as a share of earnings (which may exceed the 30% EBITDA ratio). This new earnings-based group ratio will replace the worldwide gearing ratio</w:t>
      </w:r>
      <w:r w:rsidR="00E723E4">
        <w:t>.</w:t>
      </w:r>
    </w:p>
    <w:p w14:paraId="104A57D4" w14:textId="548CB4E8" w:rsidR="0011003A" w:rsidRDefault="00156282" w:rsidP="0011003A">
      <w:pPr>
        <w:pStyle w:val="ListParagraph"/>
      </w:pPr>
      <w:r>
        <w:t>R</w:t>
      </w:r>
      <w:r w:rsidR="0011003A">
        <w:t>etain an arm’s length debt test as a substitute test which will apply only to an entity’s external (third party) debt, disallowing deductions for related party debt under this test.</w:t>
      </w:r>
    </w:p>
    <w:p w14:paraId="6EAB6B01" w14:textId="7A871CCC" w:rsidR="0011003A" w:rsidRDefault="0011003A" w:rsidP="00DD764A"/>
    <w:p w14:paraId="5B315687" w14:textId="0D9FBA07" w:rsidR="0011003A" w:rsidRDefault="0011003A" w:rsidP="0011003A">
      <w:r w:rsidRPr="0011003A">
        <w:t>Financial entities will continue to be subject to the existing thin capitalisation rules.</w:t>
      </w:r>
    </w:p>
    <w:p w14:paraId="43B067AC" w14:textId="77777777" w:rsidR="0011003A" w:rsidRDefault="0011003A" w:rsidP="0011003A"/>
    <w:p w14:paraId="41C5AC34" w14:textId="6571EDCE" w:rsidR="0011003A" w:rsidRDefault="0011003A" w:rsidP="0011003A">
      <w:r>
        <w:t xml:space="preserve">The current thin capitalisation regime limits debt deductions up to the maximum of three different tests: </w:t>
      </w:r>
    </w:p>
    <w:p w14:paraId="5EBCD592" w14:textId="77777777" w:rsidR="001C5818" w:rsidRDefault="001C5818" w:rsidP="0011003A"/>
    <w:p w14:paraId="7CEAB55C" w14:textId="35050A5D" w:rsidR="0011003A" w:rsidRDefault="0083552F" w:rsidP="0011003A">
      <w:pPr>
        <w:pStyle w:val="ListParagraph"/>
      </w:pPr>
      <w:r>
        <w:t>A</w:t>
      </w:r>
      <w:r w:rsidR="0011003A">
        <w:t xml:space="preserve"> safe harbour (debt to asset ratio) test; </w:t>
      </w:r>
    </w:p>
    <w:p w14:paraId="09B3BD20" w14:textId="1D6B62B6" w:rsidR="0011003A" w:rsidRDefault="0083552F" w:rsidP="0011003A">
      <w:pPr>
        <w:pStyle w:val="ListParagraph"/>
      </w:pPr>
      <w:r>
        <w:t>A</w:t>
      </w:r>
      <w:r w:rsidR="0011003A">
        <w:t>n arm’s length debt test; and</w:t>
      </w:r>
    </w:p>
    <w:p w14:paraId="5F40D5A1" w14:textId="3BB69A30" w:rsidR="005B2BF0" w:rsidRDefault="0083552F" w:rsidP="005B2BF0">
      <w:pPr>
        <w:pStyle w:val="ListParagraph"/>
      </w:pPr>
      <w:r>
        <w:t>A</w:t>
      </w:r>
      <w:r w:rsidR="0011003A">
        <w:t xml:space="preserve"> worldwide gearing (debt to equity ratio) test. </w:t>
      </w:r>
    </w:p>
    <w:p w14:paraId="2944594E" w14:textId="649C6AD0" w:rsidR="00CA14B1" w:rsidRDefault="005F5E60" w:rsidP="005B2BF0">
      <w:pPr>
        <w:pStyle w:val="Heading2"/>
      </w:pPr>
      <w:r>
        <w:br w:type="column"/>
      </w:r>
      <w:bookmarkStart w:id="29" w:name="_Toc117667189"/>
      <w:r w:rsidR="00CA14B1">
        <w:t>Companies to declare their subsidiaries</w:t>
      </w:r>
      <w:bookmarkEnd w:id="29"/>
    </w:p>
    <w:tbl>
      <w:tblPr>
        <w:tblStyle w:val="TableContemporary"/>
        <w:tblW w:w="0" w:type="auto"/>
        <w:tblLook w:val="0400" w:firstRow="0" w:lastRow="0" w:firstColumn="0" w:lastColumn="0" w:noHBand="0" w:noVBand="1"/>
      </w:tblPr>
      <w:tblGrid>
        <w:gridCol w:w="988"/>
        <w:gridCol w:w="3183"/>
      </w:tblGrid>
      <w:tr w:rsidR="00CA14B1" w:rsidRPr="0052217A" w14:paraId="05063DD4" w14:textId="77777777" w:rsidTr="00E90C85">
        <w:trPr>
          <w:cnfStyle w:val="000000100000" w:firstRow="0" w:lastRow="0" w:firstColumn="0" w:lastColumn="0" w:oddVBand="0" w:evenVBand="0" w:oddHBand="1" w:evenHBand="0" w:firstRowFirstColumn="0" w:firstRowLastColumn="0" w:lastRowFirstColumn="0" w:lastRowLastColumn="0"/>
        </w:trPr>
        <w:tc>
          <w:tcPr>
            <w:tcW w:w="988" w:type="dxa"/>
          </w:tcPr>
          <w:p w14:paraId="7810B00C" w14:textId="77777777" w:rsidR="00CA14B1" w:rsidRPr="0052217A" w:rsidRDefault="00CA14B1" w:rsidP="00E90C85">
            <w:pPr>
              <w:rPr>
                <w:b/>
                <w:bCs/>
                <w:sz w:val="20"/>
              </w:rPr>
            </w:pPr>
            <w:r w:rsidRPr="0052217A">
              <w:rPr>
                <w:b/>
                <w:bCs/>
                <w:sz w:val="20"/>
              </w:rPr>
              <w:t>From</w:t>
            </w:r>
          </w:p>
        </w:tc>
        <w:tc>
          <w:tcPr>
            <w:tcW w:w="3184" w:type="dxa"/>
          </w:tcPr>
          <w:p w14:paraId="333EA329" w14:textId="50C5A94C" w:rsidR="00CA14B1" w:rsidRPr="0052217A" w:rsidRDefault="00CA14B1" w:rsidP="00E90C85">
            <w:pPr>
              <w:rPr>
                <w:sz w:val="20"/>
              </w:rPr>
            </w:pPr>
            <w:r>
              <w:rPr>
                <w:sz w:val="20"/>
              </w:rPr>
              <w:t>1 July 2023</w:t>
            </w:r>
          </w:p>
        </w:tc>
      </w:tr>
    </w:tbl>
    <w:p w14:paraId="6609E68C" w14:textId="77777777" w:rsidR="00CA14B1" w:rsidRPr="00CA14B1" w:rsidRDefault="00CA14B1" w:rsidP="00CA14B1"/>
    <w:p w14:paraId="462F9D2D" w14:textId="6745F482" w:rsidR="00CA14B1" w:rsidRDefault="00CA14B1" w:rsidP="00CA14B1">
      <w:r>
        <w:t>New reporting requirements from 1 July 2023 will require:</w:t>
      </w:r>
    </w:p>
    <w:p w14:paraId="2E583615" w14:textId="77777777" w:rsidR="0083552F" w:rsidRDefault="0083552F" w:rsidP="00CA14B1"/>
    <w:p w14:paraId="4DE4FB94" w14:textId="01C20D9A" w:rsidR="00CA14B1" w:rsidRDefault="00CA14B1" w:rsidP="00CA14B1">
      <w:pPr>
        <w:pStyle w:val="ListParagraph"/>
      </w:pPr>
      <w:r>
        <w:t>Australian public companies (listed and unlisted) to disclose information on the number of subsidiaries and their country of tax domicile</w:t>
      </w:r>
      <w:r w:rsidR="00E723E4">
        <w:t>;</w:t>
      </w:r>
    </w:p>
    <w:p w14:paraId="28042F30" w14:textId="0C906F6A" w:rsidR="00CA14B1" w:rsidRDefault="001D08A5" w:rsidP="00CA14B1">
      <w:pPr>
        <w:pStyle w:val="ListParagraph"/>
      </w:pPr>
      <w:r>
        <w:t>T</w:t>
      </w:r>
      <w:r w:rsidR="00CA14B1">
        <w:t>enderers for Australian Government contracts worth more than $200,000 to disclose their country of tax domicile (by supplying their ultimate head entity’s country of tax residence)</w:t>
      </w:r>
      <w:r w:rsidR="00E723E4">
        <w:t>; and</w:t>
      </w:r>
    </w:p>
    <w:p w14:paraId="49A02FAE" w14:textId="1C0EFE45" w:rsidR="00CA14B1" w:rsidRPr="00CA14B1" w:rsidRDefault="001D08A5" w:rsidP="00CA14B1">
      <w:pPr>
        <w:pStyle w:val="ListParagraph"/>
      </w:pPr>
      <w:r>
        <w:t>L</w:t>
      </w:r>
      <w:r w:rsidR="00CA14B1">
        <w:t>arge multinationals, defined as significant global entities, to prepare for public release of certain tax information on a country by country (CbC) basis and a statement on their approach to taxation, for disclosure by the ATO</w:t>
      </w:r>
      <w:r w:rsidR="00641252">
        <w:t>.</w:t>
      </w:r>
    </w:p>
    <w:p w14:paraId="4E03C6F4" w14:textId="08E08B15" w:rsidR="005B2BF0" w:rsidRDefault="005B2BF0" w:rsidP="005B2BF0">
      <w:pPr>
        <w:pStyle w:val="Heading2"/>
      </w:pPr>
      <w:bookmarkStart w:id="30" w:name="_Toc117667190"/>
      <w:r>
        <w:t>Global entities denied deductions for intangibles</w:t>
      </w:r>
      <w:bookmarkEnd w:id="30"/>
      <w:r>
        <w:t xml:space="preserve"> </w:t>
      </w:r>
    </w:p>
    <w:tbl>
      <w:tblPr>
        <w:tblStyle w:val="TableContemporary"/>
        <w:tblW w:w="0" w:type="auto"/>
        <w:tblLook w:val="0400" w:firstRow="0" w:lastRow="0" w:firstColumn="0" w:lastColumn="0" w:noHBand="0" w:noVBand="1"/>
      </w:tblPr>
      <w:tblGrid>
        <w:gridCol w:w="988"/>
        <w:gridCol w:w="3183"/>
      </w:tblGrid>
      <w:tr w:rsidR="005B2BF0" w:rsidRPr="0052217A" w14:paraId="78B68EEA" w14:textId="77777777" w:rsidTr="00E90C85">
        <w:trPr>
          <w:cnfStyle w:val="000000100000" w:firstRow="0" w:lastRow="0" w:firstColumn="0" w:lastColumn="0" w:oddVBand="0" w:evenVBand="0" w:oddHBand="1" w:evenHBand="0" w:firstRowFirstColumn="0" w:firstRowLastColumn="0" w:lastRowFirstColumn="0" w:lastRowLastColumn="0"/>
        </w:trPr>
        <w:tc>
          <w:tcPr>
            <w:tcW w:w="988" w:type="dxa"/>
          </w:tcPr>
          <w:p w14:paraId="1A528B7E" w14:textId="77777777" w:rsidR="005B2BF0" w:rsidRPr="0052217A" w:rsidRDefault="005B2BF0" w:rsidP="00E90C85">
            <w:pPr>
              <w:rPr>
                <w:b/>
                <w:bCs/>
                <w:sz w:val="20"/>
              </w:rPr>
            </w:pPr>
            <w:r w:rsidRPr="0052217A">
              <w:rPr>
                <w:b/>
                <w:bCs/>
                <w:sz w:val="20"/>
              </w:rPr>
              <w:t>From</w:t>
            </w:r>
          </w:p>
        </w:tc>
        <w:tc>
          <w:tcPr>
            <w:tcW w:w="3184" w:type="dxa"/>
          </w:tcPr>
          <w:p w14:paraId="6BBE25A1" w14:textId="128FABEB" w:rsidR="005B2BF0" w:rsidRPr="0052217A" w:rsidRDefault="009A34ED" w:rsidP="00E90C85">
            <w:pPr>
              <w:rPr>
                <w:sz w:val="20"/>
              </w:rPr>
            </w:pPr>
            <w:r>
              <w:rPr>
                <w:sz w:val="20"/>
              </w:rPr>
              <w:t>Payment made on or after 1 July 2023</w:t>
            </w:r>
          </w:p>
        </w:tc>
      </w:tr>
    </w:tbl>
    <w:p w14:paraId="7FAB91E0" w14:textId="77777777" w:rsidR="005B2BF0" w:rsidRPr="005B2BF0" w:rsidRDefault="005B2BF0" w:rsidP="005B2BF0"/>
    <w:p w14:paraId="699AD206" w14:textId="791F1C00" w:rsidR="005B2BF0" w:rsidRDefault="009A34ED" w:rsidP="005B2BF0">
      <w:r>
        <w:t xml:space="preserve">Significant global entities (at least $1bn global revenue) will no longer be able to claim a tax deduction for payments made, directly or indirectly, to related parties </w:t>
      </w:r>
      <w:r w:rsidR="008E4E32">
        <w:t>f</w:t>
      </w:r>
      <w:r>
        <w:t xml:space="preserve">or intangibles held in low or no tax jurisdictions. </w:t>
      </w:r>
      <w:r w:rsidR="00D43C81">
        <w:t xml:space="preserve">This could include royalties paid for the use of </w:t>
      </w:r>
      <w:r>
        <w:t>trademarks</w:t>
      </w:r>
      <w:r w:rsidR="00D43C81">
        <w:t xml:space="preserve"> and other </w:t>
      </w:r>
      <w:r w:rsidR="000376B3">
        <w:t>intellectual property items</w:t>
      </w:r>
      <w:r>
        <w:t>.</w:t>
      </w:r>
    </w:p>
    <w:p w14:paraId="2BCC8BD2" w14:textId="255A00B3" w:rsidR="00B23014" w:rsidRDefault="00B23014" w:rsidP="005B2BF0">
      <w:r>
        <w:t>A low or no tax jurisdiction is one with:</w:t>
      </w:r>
    </w:p>
    <w:p w14:paraId="08D99AF6" w14:textId="77777777" w:rsidR="000376B3" w:rsidRDefault="000376B3" w:rsidP="005B2BF0"/>
    <w:p w14:paraId="1C08E804" w14:textId="4DCF863D" w:rsidR="00B23014" w:rsidRDefault="00B23014" w:rsidP="00B23014">
      <w:pPr>
        <w:pStyle w:val="ListParagraph"/>
      </w:pPr>
      <w:r>
        <w:t>A tax rate of less than 15%, or</w:t>
      </w:r>
    </w:p>
    <w:p w14:paraId="2D5DC361" w14:textId="72CB9299" w:rsidR="00B23014" w:rsidRDefault="00B23014" w:rsidP="00B23014">
      <w:pPr>
        <w:pStyle w:val="ListParagraph"/>
      </w:pPr>
      <w:r>
        <w:t>A tax preferential patent box regime without significant substance</w:t>
      </w:r>
      <w:r w:rsidR="000376B3">
        <w:t>.</w:t>
      </w:r>
    </w:p>
    <w:p w14:paraId="371C8B52" w14:textId="3A2D4933" w:rsidR="00AB1757" w:rsidRDefault="00AB1757" w:rsidP="00AB1757"/>
    <w:p w14:paraId="2E5EF827" w14:textId="39822D4A" w:rsidR="00376136" w:rsidRDefault="00AB1757" w:rsidP="00AB1757">
      <w:r>
        <w:t>The measure is anticipated to apply to payments made on or after 1 July 2023.</w:t>
      </w:r>
    </w:p>
    <w:p w14:paraId="1352C583" w14:textId="77777777" w:rsidR="00376136" w:rsidRDefault="00376136" w:rsidP="00AB1757"/>
    <w:p w14:paraId="1BD0214B" w14:textId="258432CA" w:rsidR="00B23014" w:rsidRDefault="00376136" w:rsidP="005B2BF0">
      <w:r>
        <w:lastRenderedPageBreak/>
        <w:t>Th</w:t>
      </w:r>
      <w:r w:rsidR="009025CA">
        <w:t xml:space="preserve">is measure could impact on Australian entities that are subsidiaries of a </w:t>
      </w:r>
      <w:r w:rsidR="004E0A15">
        <w:t xml:space="preserve">foreign </w:t>
      </w:r>
      <w:r w:rsidR="009025CA">
        <w:t>parent entity</w:t>
      </w:r>
      <w:r w:rsidR="004E0A15">
        <w:t xml:space="preserve"> where the global revenue of the consolidated group for accounting purposes is $1bn or more.</w:t>
      </w:r>
    </w:p>
    <w:p w14:paraId="57FFBCA9" w14:textId="5C5FF514" w:rsidR="00E61A4C" w:rsidRPr="00E61A4C" w:rsidRDefault="00E61A4C" w:rsidP="00E61A4C"/>
    <w:p w14:paraId="63C161C7" w14:textId="022C5DE9" w:rsidR="002E78B7" w:rsidRDefault="002E78B7" w:rsidP="0092316C">
      <w:pPr>
        <w:pStyle w:val="Heading1"/>
      </w:pPr>
      <w:bookmarkStart w:id="31" w:name="_Toc71694212"/>
      <w:bookmarkStart w:id="32" w:name="_Toc117667191"/>
      <w:r>
        <w:t>Government &amp; regulators</w:t>
      </w:r>
      <w:bookmarkEnd w:id="31"/>
      <w:bookmarkEnd w:id="32"/>
    </w:p>
    <w:p w14:paraId="74C0C82C" w14:textId="653DDDBA" w:rsidR="00BC4D71" w:rsidRDefault="00632D80" w:rsidP="00F32249">
      <w:pPr>
        <w:pStyle w:val="Heading2"/>
        <w:spacing w:before="0"/>
      </w:pPr>
      <w:bookmarkStart w:id="33" w:name="_Toc117667192"/>
      <w:r>
        <w:t xml:space="preserve">ATO </w:t>
      </w:r>
      <w:r w:rsidR="00F344BB">
        <w:t>targets in sharp focus</w:t>
      </w:r>
      <w:bookmarkEnd w:id="33"/>
    </w:p>
    <w:p w14:paraId="242FB147" w14:textId="6C14B8AC" w:rsidR="00A94084" w:rsidRPr="00A94084" w:rsidRDefault="00A94084" w:rsidP="00987CFF">
      <w:pPr>
        <w:rPr>
          <w:b/>
          <w:bCs/>
        </w:rPr>
      </w:pPr>
      <w:r w:rsidRPr="00A94084">
        <w:rPr>
          <w:b/>
          <w:bCs/>
        </w:rPr>
        <w:t>Personal income tax deductions and incorrect reporting</w:t>
      </w:r>
    </w:p>
    <w:p w14:paraId="26DCF0E1" w14:textId="37906A45" w:rsidR="00987CFF" w:rsidRDefault="00632D80" w:rsidP="00987CFF">
      <w:r>
        <w:t xml:space="preserve">The ATO will receive an additional $80.3 to crackdown on </w:t>
      </w:r>
      <w:r w:rsidR="00987CFF">
        <w:t xml:space="preserve">non-compliance including: </w:t>
      </w:r>
    </w:p>
    <w:p w14:paraId="3A49BDB2" w14:textId="77777777" w:rsidR="00510BEB" w:rsidRDefault="00510BEB" w:rsidP="00987CFF"/>
    <w:p w14:paraId="5B5C7F81" w14:textId="2E127881" w:rsidR="00987CFF" w:rsidRDefault="00510BEB" w:rsidP="00987CFF">
      <w:pPr>
        <w:pStyle w:val="ListParagraph"/>
      </w:pPr>
      <w:r>
        <w:t>O</w:t>
      </w:r>
      <w:r w:rsidR="00987CFF">
        <w:t xml:space="preserve">verclaiming </w:t>
      </w:r>
      <w:r w:rsidR="00987CFF" w:rsidRPr="00987CFF">
        <w:t>deductions</w:t>
      </w:r>
      <w:r>
        <w:t>;</w:t>
      </w:r>
      <w:r w:rsidR="00987CFF" w:rsidRPr="00987CFF">
        <w:t xml:space="preserve"> and </w:t>
      </w:r>
    </w:p>
    <w:p w14:paraId="54DBAD92" w14:textId="15A5AC1B" w:rsidR="00987CFF" w:rsidRDefault="00510BEB" w:rsidP="00987CFF">
      <w:pPr>
        <w:pStyle w:val="ListParagraph"/>
      </w:pPr>
      <w:r>
        <w:t>I</w:t>
      </w:r>
      <w:r w:rsidR="00987CFF" w:rsidRPr="00987CFF">
        <w:t>ncorrect reporting of income</w:t>
      </w:r>
    </w:p>
    <w:p w14:paraId="6C8A1CA3" w14:textId="19B3FF7D" w:rsidR="00987CFF" w:rsidRDefault="00987CFF" w:rsidP="00987CFF"/>
    <w:p w14:paraId="327A1151" w14:textId="46987D1C" w:rsidR="00A94084" w:rsidRDefault="00987CFF" w:rsidP="00987CFF">
      <w:r>
        <w:t xml:space="preserve">The spend is expected to increase tax receipts by $674.4m and payment by $80.3m over 4 years. </w:t>
      </w:r>
    </w:p>
    <w:p w14:paraId="66E3D6E5" w14:textId="77777777" w:rsidR="00246092" w:rsidRDefault="00246092" w:rsidP="00987CFF">
      <w:pPr>
        <w:rPr>
          <w:b/>
          <w:bCs/>
        </w:rPr>
      </w:pPr>
    </w:p>
    <w:p w14:paraId="26EE5DDC" w14:textId="42237F9F" w:rsidR="00A94084" w:rsidRPr="00A94084" w:rsidRDefault="00A94084" w:rsidP="00987CFF">
      <w:pPr>
        <w:rPr>
          <w:b/>
          <w:bCs/>
        </w:rPr>
      </w:pPr>
      <w:r w:rsidRPr="00A94084">
        <w:rPr>
          <w:b/>
          <w:bCs/>
        </w:rPr>
        <w:t>Cash payments and tax evasion by business</w:t>
      </w:r>
    </w:p>
    <w:p w14:paraId="5022B094" w14:textId="7CF29A1C" w:rsidR="00A94084" w:rsidRDefault="00A94084" w:rsidP="002B481D">
      <w:r>
        <w:t>The ‘shadow economy’</w:t>
      </w:r>
      <w:r w:rsidR="002B481D">
        <w:t xml:space="preserve">, </w:t>
      </w:r>
      <w:r>
        <w:t>cash-in-ha</w:t>
      </w:r>
      <w:r w:rsidR="002B481D">
        <w:t>n</w:t>
      </w:r>
      <w:r>
        <w:t>d payments</w:t>
      </w:r>
      <w:r w:rsidR="002B481D">
        <w:t xml:space="preserve"> including </w:t>
      </w:r>
      <w:r>
        <w:t xml:space="preserve">underpayment of wages, visa fraud, and other nefarious activity that deprives the economy of the income from tax receipts, will </w:t>
      </w:r>
      <w:r w:rsidR="002B481D">
        <w:t>come under scrutiny with the extension of the ATO’s Shadow Economy Program for a further 3 years from 1 July 2023. Over this period, the program is estimated to increase tax receipts by $2.1bn and payments by</w:t>
      </w:r>
      <w:r w:rsidR="001C5818">
        <w:t xml:space="preserve"> </w:t>
      </w:r>
      <w:r w:rsidR="002B481D">
        <w:t>$685.2m over the 4 years from 2022-23.</w:t>
      </w:r>
    </w:p>
    <w:p w14:paraId="7D69220F" w14:textId="24A977A7" w:rsidR="002B481D" w:rsidRDefault="002B481D" w:rsidP="002B481D"/>
    <w:p w14:paraId="67560463" w14:textId="77777777" w:rsidR="001C5818" w:rsidRDefault="001C5818" w:rsidP="002B481D">
      <w:pPr>
        <w:rPr>
          <w:b/>
          <w:bCs/>
        </w:rPr>
      </w:pPr>
    </w:p>
    <w:p w14:paraId="146008DA" w14:textId="312EB156" w:rsidR="002B481D" w:rsidRPr="002B481D" w:rsidRDefault="002B481D" w:rsidP="002B481D">
      <w:pPr>
        <w:rPr>
          <w:b/>
          <w:bCs/>
        </w:rPr>
      </w:pPr>
      <w:r w:rsidRPr="002B481D">
        <w:rPr>
          <w:b/>
          <w:bCs/>
        </w:rPr>
        <w:t>Multinational</w:t>
      </w:r>
      <w:r w:rsidR="00C319B8">
        <w:rPr>
          <w:b/>
          <w:bCs/>
        </w:rPr>
        <w:t xml:space="preserve"> business</w:t>
      </w:r>
      <w:r w:rsidRPr="002B481D">
        <w:rPr>
          <w:b/>
          <w:bCs/>
        </w:rPr>
        <w:t xml:space="preserve"> and the Tax Avoidance Taskforce</w:t>
      </w:r>
    </w:p>
    <w:p w14:paraId="5C8C103F" w14:textId="4446D980" w:rsidR="00987CFF" w:rsidRDefault="002B481D" w:rsidP="00987CFF">
      <w:r>
        <w:t xml:space="preserve">The ATO’s </w:t>
      </w:r>
      <w:r w:rsidRPr="002B481D">
        <w:t>Tax Avoidance Taskforce</w:t>
      </w:r>
      <w:r>
        <w:t xml:space="preserve"> will receive an additional $200m over 4 years from 1 July 2022 primarily to pursue </w:t>
      </w:r>
      <w:r w:rsidR="00C319B8" w:rsidRPr="00C319B8">
        <w:t>multinational enterprises and large public and private businesses.</w:t>
      </w:r>
      <w:r w:rsidR="00C319B8">
        <w:t xml:space="preserve"> This taskforce is expected to deliver a whopping $2.8bn in additional tax receipts and $1.1bn in payments over the 4 year period.</w:t>
      </w:r>
    </w:p>
    <w:p w14:paraId="797B759D" w14:textId="1F09AF10" w:rsidR="00FF072F" w:rsidRDefault="00FF072F" w:rsidP="00FF072F">
      <w:pPr>
        <w:pStyle w:val="Heading2"/>
      </w:pPr>
      <w:bookmarkStart w:id="34" w:name="_Toc117667193"/>
      <w:r>
        <w:t xml:space="preserve">$3.6bn cut from </w:t>
      </w:r>
      <w:r w:rsidRPr="00FF072F">
        <w:t>external labour, advertising, travel and legal expenses</w:t>
      </w:r>
      <w:bookmarkEnd w:id="34"/>
    </w:p>
    <w:p w14:paraId="668625C8" w14:textId="5CF2F071" w:rsidR="003301F6" w:rsidRPr="003301F6" w:rsidRDefault="00FF072F" w:rsidP="003301F6">
      <w:r>
        <w:t xml:space="preserve">The Government </w:t>
      </w:r>
      <w:r w:rsidR="00375AC0">
        <w:t>has committed to saving</w:t>
      </w:r>
      <w:r>
        <w:t xml:space="preserve"> $3.6bn by cutting what it spends on </w:t>
      </w:r>
      <w:r w:rsidRPr="00FF072F">
        <w:t>external labour, advertising, travel and legal expenses</w:t>
      </w:r>
      <w:r>
        <w:t>.</w:t>
      </w:r>
    </w:p>
    <w:p w14:paraId="3CBA340E" w14:textId="4EBDB371" w:rsidR="00E82163" w:rsidRDefault="00E82163" w:rsidP="00E82163">
      <w:bookmarkStart w:id="35" w:name="_Toc71694226"/>
    </w:p>
    <w:p w14:paraId="2330850C" w14:textId="33A5AF5B" w:rsidR="002E78B7" w:rsidRDefault="002E78B7" w:rsidP="0092316C">
      <w:pPr>
        <w:pStyle w:val="Heading1"/>
      </w:pPr>
      <w:bookmarkStart w:id="36" w:name="_Toc117667194"/>
      <w:r>
        <w:t>Other</w:t>
      </w:r>
      <w:bookmarkEnd w:id="35"/>
      <w:bookmarkEnd w:id="36"/>
    </w:p>
    <w:p w14:paraId="19BA1993" w14:textId="3FCA831B" w:rsidR="00E82163" w:rsidRDefault="00E82163" w:rsidP="00FF072F">
      <w:pPr>
        <w:pStyle w:val="Heading2"/>
      </w:pPr>
      <w:bookmarkStart w:id="37" w:name="_Toc117667195"/>
      <w:r>
        <w:t>Working with our Pacific Neighbours</w:t>
      </w:r>
      <w:bookmarkEnd w:id="37"/>
    </w:p>
    <w:p w14:paraId="5714747B" w14:textId="0FC846FA" w:rsidR="00E82163" w:rsidRDefault="00E82163" w:rsidP="00E82163">
      <w:r>
        <w:t>Australia’s relationship in the Pacific has come into sharp focus of late. The Budget implements a series of initiatives to support development and labour mobility in the region:</w:t>
      </w:r>
    </w:p>
    <w:p w14:paraId="550B2F94" w14:textId="3A3FB105" w:rsidR="00E82163" w:rsidRDefault="00E82163" w:rsidP="00E82163"/>
    <w:p w14:paraId="3876EDB3" w14:textId="11579D05" w:rsidR="00E82163" w:rsidRDefault="00E82163" w:rsidP="00732507">
      <w:pPr>
        <w:pStyle w:val="ListParagraph"/>
      </w:pPr>
      <w:r>
        <w:t xml:space="preserve">Additional infrastructure investment </w:t>
      </w:r>
      <w:r w:rsidR="007F3B6D">
        <w:t xml:space="preserve">of $500m over 10 years </w:t>
      </w:r>
      <w:r>
        <w:t xml:space="preserve">in the Pacific and Timor-Leste </w:t>
      </w:r>
      <w:r w:rsidR="007F3B6D">
        <w:t xml:space="preserve">will be provided </w:t>
      </w:r>
      <w:r>
        <w:t xml:space="preserve">through the Australian Infrastructure Financing Facility for the Pacific including an additional $50m </w:t>
      </w:r>
      <w:r w:rsidR="007F3B6D">
        <w:t xml:space="preserve">for the establishment of a </w:t>
      </w:r>
      <w:r w:rsidRPr="00E82163">
        <w:t>Pacific Climate Infrastructure Financing Partnership</w:t>
      </w:r>
      <w:r>
        <w:t xml:space="preserve"> Facility.</w:t>
      </w:r>
    </w:p>
    <w:p w14:paraId="52A25823" w14:textId="725F6A6F" w:rsidR="00732507" w:rsidRDefault="00732507" w:rsidP="00732507">
      <w:pPr>
        <w:pStyle w:val="ListParagraph"/>
      </w:pPr>
      <w:r>
        <w:t>As previously announced, the Pacific Australia Labour Mobility scheme will be expanded to improve the benefits of the program for employers and workers including:</w:t>
      </w:r>
    </w:p>
    <w:p w14:paraId="7EABF57C" w14:textId="77777777" w:rsidR="00732507" w:rsidRDefault="00732507" w:rsidP="00BA49E9">
      <w:pPr>
        <w:pStyle w:val="ListParagraph"/>
        <w:numPr>
          <w:ilvl w:val="1"/>
          <w:numId w:val="8"/>
        </w:numPr>
        <w:ind w:left="1134"/>
      </w:pPr>
      <w:r>
        <w:t>underwriting employers’ investment in upfront travel costs for seasonal workers by covering costs that cannot be recouped from workers</w:t>
      </w:r>
    </w:p>
    <w:p w14:paraId="51832127" w14:textId="2FF7989F" w:rsidR="00732507" w:rsidRDefault="00732507" w:rsidP="00BA49E9">
      <w:pPr>
        <w:pStyle w:val="ListParagraph"/>
        <w:numPr>
          <w:ilvl w:val="1"/>
          <w:numId w:val="8"/>
        </w:numPr>
        <w:ind w:left="1134"/>
      </w:pPr>
      <w:r>
        <w:t>improvements to workplace standards for PALM visa holders, including increased workplace compliance activities</w:t>
      </w:r>
    </w:p>
    <w:p w14:paraId="342931BD" w14:textId="28878E37" w:rsidR="00732507" w:rsidRDefault="00732507" w:rsidP="00BA49E9">
      <w:pPr>
        <w:pStyle w:val="ListParagraph"/>
        <w:numPr>
          <w:ilvl w:val="1"/>
          <w:numId w:val="8"/>
        </w:numPr>
        <w:ind w:left="1134"/>
      </w:pPr>
      <w:r>
        <w:t xml:space="preserve">allowing primary visa holders on long-term placements to bring partners and children to Australia, where sponsored by employers, with additional social support including providing relevant minimum family </w:t>
      </w:r>
      <w:r>
        <w:lastRenderedPageBreak/>
        <w:t>assistance payments, with an initial rollout of 200 families</w:t>
      </w:r>
    </w:p>
    <w:p w14:paraId="48A6CEAC" w14:textId="54DC3940" w:rsidR="00732507" w:rsidRDefault="00732507" w:rsidP="00BA49E9">
      <w:pPr>
        <w:pStyle w:val="ListParagraph"/>
        <w:numPr>
          <w:ilvl w:val="1"/>
          <w:numId w:val="8"/>
        </w:numPr>
        <w:ind w:left="1134"/>
      </w:pPr>
      <w:r>
        <w:t>the expansion of the existing aged care skills pilot programs for aged care workers.</w:t>
      </w:r>
    </w:p>
    <w:p w14:paraId="55E950C3" w14:textId="460CBAE0" w:rsidR="00074A89" w:rsidRDefault="00693004" w:rsidP="00074A89">
      <w:pPr>
        <w:pStyle w:val="ListParagraph"/>
      </w:pPr>
      <w:r>
        <w:t xml:space="preserve">A new Pacific Engagement Visa for </w:t>
      </w:r>
      <w:r w:rsidRPr="00693004">
        <w:t xml:space="preserve">nationals of Pacific </w:t>
      </w:r>
      <w:r w:rsidR="008073A8">
        <w:t>I</w:t>
      </w:r>
      <w:r w:rsidRPr="00693004">
        <w:t>sland countries and Timor-Leste</w:t>
      </w:r>
      <w:r>
        <w:t xml:space="preserve">. Up to 3,000 additional places will be made available in addition to those provided </w:t>
      </w:r>
      <w:r w:rsidR="00AB0115">
        <w:t>through the existing permanent Migration Program.</w:t>
      </w:r>
    </w:p>
    <w:p w14:paraId="00F60F60" w14:textId="646BE196" w:rsidR="00FF072F" w:rsidRDefault="00FF072F" w:rsidP="00FF072F">
      <w:pPr>
        <w:pStyle w:val="Heading2"/>
      </w:pPr>
      <w:bookmarkStart w:id="38" w:name="_Toc117667196"/>
      <w:r>
        <w:t>Electric vehicle and hydrogen refuelling</w:t>
      </w:r>
      <w:bookmarkEnd w:id="38"/>
    </w:p>
    <w:p w14:paraId="7AB87D6F" w14:textId="77777777" w:rsidR="00FF072F" w:rsidRDefault="00FF072F" w:rsidP="00FF072F">
      <w:r>
        <w:t>As part of its Driving the Nation Fund, the Government will commit:</w:t>
      </w:r>
    </w:p>
    <w:p w14:paraId="12B107EF" w14:textId="77777777" w:rsidR="00FF072F" w:rsidRDefault="00FF072F" w:rsidP="00FF072F"/>
    <w:p w14:paraId="2C8A1D8A" w14:textId="1DC7D4D3" w:rsidR="00FF072F" w:rsidRPr="005C05F4" w:rsidRDefault="00FF072F" w:rsidP="00FF072F">
      <w:pPr>
        <w:pStyle w:val="ListParagraph"/>
      </w:pPr>
      <w:r w:rsidRPr="005C05F4">
        <w:t>$146.1</w:t>
      </w:r>
      <w:r>
        <w:t xml:space="preserve">m </w:t>
      </w:r>
      <w:r w:rsidRPr="005C05F4">
        <w:t>over 5 years from 2023</w:t>
      </w:r>
      <w:r w:rsidR="00BA49E9">
        <w:t>-</w:t>
      </w:r>
      <w:r w:rsidRPr="005C05F4">
        <w:t>24 for the Australian Renewable Energy Agency</w:t>
      </w:r>
      <w:r>
        <w:t xml:space="preserve"> </w:t>
      </w:r>
      <w:r w:rsidRPr="005C05F4">
        <w:t>to co-invest in projects to reduce emissions from Australia’s road transport sector</w:t>
      </w:r>
    </w:p>
    <w:p w14:paraId="499BF613" w14:textId="0941E4A2" w:rsidR="00FF072F" w:rsidRPr="005C05F4" w:rsidRDefault="00FF072F" w:rsidP="00FF072F">
      <w:pPr>
        <w:pStyle w:val="ListParagraph"/>
      </w:pPr>
      <w:r w:rsidRPr="005C05F4">
        <w:t>$89.5</w:t>
      </w:r>
      <w:r>
        <w:t xml:space="preserve">m </w:t>
      </w:r>
      <w:r w:rsidRPr="005C05F4">
        <w:t>over 6 years from 2022</w:t>
      </w:r>
      <w:r w:rsidR="00BA49E9">
        <w:t>-</w:t>
      </w:r>
      <w:r w:rsidRPr="005C05F4">
        <w:t>23 for the Hydrogen Highways initiative to fund</w:t>
      </w:r>
      <w:r>
        <w:t xml:space="preserve"> </w:t>
      </w:r>
      <w:r w:rsidRPr="005C05F4">
        <w:t>the creation of hydrogen refuelling stations on Australia’s busiest freight routes, in</w:t>
      </w:r>
      <w:r>
        <w:t xml:space="preserve"> </w:t>
      </w:r>
      <w:r w:rsidRPr="005C05F4">
        <w:t>partnership with states and territories, including $5.5</w:t>
      </w:r>
      <w:r w:rsidR="00F20115">
        <w:t>m</w:t>
      </w:r>
      <w:r w:rsidRPr="005C05F4">
        <w:t xml:space="preserve"> to LINE Hydrogen Pty Ltd</w:t>
      </w:r>
      <w:r>
        <w:t xml:space="preserve"> </w:t>
      </w:r>
      <w:r w:rsidRPr="005C05F4">
        <w:t>for its George Town green hydrogen heavy transport project</w:t>
      </w:r>
    </w:p>
    <w:p w14:paraId="59F32266" w14:textId="280665AA" w:rsidR="00FF072F" w:rsidRDefault="00FF072F" w:rsidP="00AA7401">
      <w:pPr>
        <w:pStyle w:val="ListParagraph"/>
      </w:pPr>
      <w:r w:rsidRPr="005C05F4">
        <w:t>$39.8</w:t>
      </w:r>
      <w:r>
        <w:t xml:space="preserve">m </w:t>
      </w:r>
      <w:r w:rsidRPr="005C05F4">
        <w:t>over 5 years from 2022</w:t>
      </w:r>
      <w:r w:rsidR="00BA49E9">
        <w:t>-</w:t>
      </w:r>
      <w:r w:rsidRPr="005C05F4">
        <w:t>23 to establish a National Electric Vehicle Charging</w:t>
      </w:r>
      <w:r>
        <w:t xml:space="preserve"> </w:t>
      </w:r>
      <w:r w:rsidRPr="005C05F4">
        <w:t>Network</w:t>
      </w:r>
      <w:r>
        <w:t xml:space="preserve"> to deliver 117 fast charging stations on highways across Australia, in partnership with the NRMA.</w:t>
      </w:r>
    </w:p>
    <w:p w14:paraId="10286EC0" w14:textId="4F7B1123" w:rsidR="000F1B68" w:rsidRDefault="000F1B68" w:rsidP="00AA7401">
      <w:pPr>
        <w:pStyle w:val="Heading2"/>
      </w:pPr>
      <w:bookmarkStart w:id="39" w:name="_Toc117667197"/>
      <w:r>
        <w:t xml:space="preserve">Broadband </w:t>
      </w:r>
      <w:r w:rsidR="00074A89">
        <w:t>&amp; mobile improvements</w:t>
      </w:r>
      <w:r>
        <w:t xml:space="preserve"> for regional Australia</w:t>
      </w:r>
      <w:bookmarkEnd w:id="39"/>
    </w:p>
    <w:p w14:paraId="44594E83" w14:textId="17CB2C9A" w:rsidR="000F1B68" w:rsidRPr="000F1B68" w:rsidRDefault="000F1B68" w:rsidP="000F1B68">
      <w:r>
        <w:t>Almost $758m will be spent improving mobile and broadband connectivity in rural and regional Australia.</w:t>
      </w:r>
    </w:p>
    <w:p w14:paraId="3D79B146" w14:textId="017211FB" w:rsidR="00265662" w:rsidRDefault="00AF34B8" w:rsidP="00AA7401">
      <w:pPr>
        <w:pStyle w:val="Heading2"/>
      </w:pPr>
      <w:bookmarkStart w:id="40" w:name="_Toc117667198"/>
      <w:r>
        <w:t>Foreign investment review board fees increase</w:t>
      </w:r>
      <w:bookmarkEnd w:id="40"/>
    </w:p>
    <w:p w14:paraId="363998DB" w14:textId="31E07A62" w:rsidR="000F1B68" w:rsidRDefault="00E176C3" w:rsidP="00E176C3">
      <w:r w:rsidRPr="00E176C3">
        <w:t>The Government has increased foreign investment fees and will increase financial penalties for breaches that relate to residential land. Fees doubled on 29 July 2022 for all applications made under the foreign investment framework. The maximum financial penalties that can be applied for breaches in relation to residential land will also double on 1 January 2023.</w:t>
      </w:r>
    </w:p>
    <w:p w14:paraId="06A9B0C2" w14:textId="77777777" w:rsidR="000F1B68" w:rsidRDefault="000F1B68" w:rsidP="000F1B68">
      <w:pPr>
        <w:pStyle w:val="Heading2"/>
      </w:pPr>
      <w:bookmarkStart w:id="41" w:name="_Toc117667199"/>
      <w:r>
        <w:t>Community sector organisations funding boost</w:t>
      </w:r>
      <w:bookmarkEnd w:id="41"/>
    </w:p>
    <w:p w14:paraId="36EEB2A8" w14:textId="20B60878" w:rsidR="000F1B68" w:rsidRPr="00FF072F" w:rsidRDefault="000F1B68" w:rsidP="000F1B68">
      <w:r>
        <w:t xml:space="preserve">An additional $560m over 4 years will be provided to community sector organisations ($140m pa). 46% of the funding </w:t>
      </w:r>
      <w:r w:rsidR="00BA49E9">
        <w:t>will come from</w:t>
      </w:r>
      <w:r>
        <w:t xml:space="preserve"> the Department of Social Services and around 34% to the National Indigenous Australians Agency.</w:t>
      </w:r>
    </w:p>
    <w:p w14:paraId="7E48A900" w14:textId="77777777" w:rsidR="000F1B68" w:rsidRDefault="000F1B68" w:rsidP="000F1B68">
      <w:pPr>
        <w:pStyle w:val="Heading2"/>
      </w:pPr>
      <w:bookmarkStart w:id="42" w:name="_Toc117667200"/>
      <w:r>
        <w:t>Extension of Tariffs on Russian goods</w:t>
      </w:r>
      <w:bookmarkEnd w:id="42"/>
    </w:p>
    <w:p w14:paraId="44885A43" w14:textId="77777777" w:rsidR="000F1B68" w:rsidRDefault="000F1B68" w:rsidP="000F1B68">
      <w:r>
        <w:t xml:space="preserve">The Government has extended the temporary additional tariff on </w:t>
      </w:r>
      <w:r w:rsidRPr="00B02A3E">
        <w:t>goods imported from Russia and Belarus</w:t>
      </w:r>
      <w:r>
        <w:t xml:space="preserve"> until 24 October 2023. The additional 35% tariff applies to goods that are the produce or manufacture of Russia and Belarus shipped to Australia on or after 25 April 2022.</w:t>
      </w:r>
    </w:p>
    <w:p w14:paraId="3DFBA085" w14:textId="77777777" w:rsidR="000F1B68" w:rsidRDefault="000F1B68" w:rsidP="000F1B68"/>
    <w:p w14:paraId="18A895F5" w14:textId="166A521F" w:rsidR="00F20115" w:rsidRDefault="000F1B68" w:rsidP="000F1B68">
      <w:r>
        <w:t xml:space="preserve">Note that Ukrainian </w:t>
      </w:r>
      <w:r w:rsidR="005F5829">
        <w:t xml:space="preserve">goods </w:t>
      </w:r>
      <w:r>
        <w:t>have previously been exempted from import duty for 12 months until 4 July 2022.</w:t>
      </w:r>
    </w:p>
    <w:p w14:paraId="157E9C6F" w14:textId="57BA8F35" w:rsidR="00F20115" w:rsidRDefault="005F5E60" w:rsidP="00F20115">
      <w:pPr>
        <w:pStyle w:val="Heading2"/>
      </w:pPr>
      <w:r>
        <w:br w:type="column"/>
      </w:r>
      <w:bookmarkStart w:id="43" w:name="_Toc117667201"/>
      <w:r w:rsidR="00F20115">
        <w:lastRenderedPageBreak/>
        <w:t>Infrastructure projects</w:t>
      </w:r>
      <w:bookmarkEnd w:id="43"/>
    </w:p>
    <w:p w14:paraId="34A3E9C6" w14:textId="5F134BA8" w:rsidR="00F20115" w:rsidRDefault="00F20115" w:rsidP="00F20115">
      <w:r>
        <w:t xml:space="preserve">The </w:t>
      </w:r>
      <w:r w:rsidR="005F5829">
        <w:t>B</w:t>
      </w:r>
      <w:r>
        <w:t>udget has reallocated infrastructure projects, “reprofiling” $6.5bn in funding for existing projects. An additional $8.1bn over the next 10 years has been earmarked for priority projects including:</w:t>
      </w:r>
    </w:p>
    <w:p w14:paraId="4ECF5276" w14:textId="077C8DF6" w:rsidR="00F20115" w:rsidRDefault="00F20115" w:rsidP="00F20115"/>
    <w:p w14:paraId="33280454" w14:textId="45209F5B" w:rsidR="00CE2924" w:rsidRDefault="00CE2924" w:rsidP="00F20115">
      <w:pPr>
        <w:rPr>
          <w:b/>
          <w:bCs/>
        </w:rPr>
      </w:pPr>
      <w:r>
        <w:rPr>
          <w:b/>
          <w:bCs/>
        </w:rPr>
        <w:t>ACT</w:t>
      </w:r>
    </w:p>
    <w:p w14:paraId="0F8E364F" w14:textId="522926BB" w:rsidR="00CE2924" w:rsidRDefault="00CE2924" w:rsidP="00CE2924">
      <w:pPr>
        <w:pStyle w:val="ListParagraph"/>
      </w:pPr>
      <w:r w:rsidRPr="00CE2924">
        <w:t>$85.9m for the Canberra Light Rail</w:t>
      </w:r>
      <w:r>
        <w:t xml:space="preserve"> </w:t>
      </w:r>
      <w:r w:rsidRPr="00CE2924">
        <w:t>Stage 2A project</w:t>
      </w:r>
    </w:p>
    <w:p w14:paraId="0FBFB6D8" w14:textId="77777777" w:rsidR="00CE2924" w:rsidRPr="00CE2924" w:rsidRDefault="00CE2924" w:rsidP="00CE2924">
      <w:pPr>
        <w:pStyle w:val="ListParagraph"/>
        <w:numPr>
          <w:ilvl w:val="0"/>
          <w:numId w:val="0"/>
        </w:numPr>
        <w:ind w:left="720"/>
      </w:pPr>
    </w:p>
    <w:p w14:paraId="6946EC51" w14:textId="27E26421" w:rsidR="00F20115" w:rsidRDefault="00F20115" w:rsidP="00F20115">
      <w:pPr>
        <w:rPr>
          <w:b/>
          <w:bCs/>
        </w:rPr>
      </w:pPr>
      <w:r>
        <w:rPr>
          <w:b/>
          <w:bCs/>
        </w:rPr>
        <w:t>New South Wales</w:t>
      </w:r>
    </w:p>
    <w:p w14:paraId="505EC14D" w14:textId="35DFF995" w:rsidR="00F20115" w:rsidRDefault="00F20115" w:rsidP="00F20115">
      <w:pPr>
        <w:pStyle w:val="ListParagraph"/>
      </w:pPr>
      <w:r>
        <w:t>$1.4bn including $500m for planning, corridor acquisition and early works for the Sydney to Newcastle High Speed Rail, $268.8m for the New England Highway - Muswellbrook Bypass and $110m for the Epping Bridge</w:t>
      </w:r>
    </w:p>
    <w:p w14:paraId="1F3D9AE9" w14:textId="77777777" w:rsidR="00F20115" w:rsidRDefault="00F20115" w:rsidP="00F20115">
      <w:pPr>
        <w:pStyle w:val="ListParagraph"/>
        <w:numPr>
          <w:ilvl w:val="0"/>
          <w:numId w:val="0"/>
        </w:numPr>
        <w:ind w:left="720"/>
      </w:pPr>
    </w:p>
    <w:p w14:paraId="263D7BCF" w14:textId="70D6A5BA" w:rsidR="00F20115" w:rsidRDefault="00F20115" w:rsidP="00F20115">
      <w:pPr>
        <w:rPr>
          <w:b/>
          <w:bCs/>
        </w:rPr>
      </w:pPr>
      <w:r w:rsidRPr="00F20115">
        <w:rPr>
          <w:b/>
          <w:bCs/>
        </w:rPr>
        <w:t>Northern Territory</w:t>
      </w:r>
    </w:p>
    <w:p w14:paraId="75A0B605" w14:textId="6AF8507D" w:rsidR="00F20115" w:rsidRPr="00F20115" w:rsidRDefault="00F20115" w:rsidP="00F20115">
      <w:pPr>
        <w:pStyle w:val="ListParagraph"/>
      </w:pPr>
      <w:r w:rsidRPr="00F20115">
        <w:t>$550</w:t>
      </w:r>
      <w:r>
        <w:t>m</w:t>
      </w:r>
      <w:r w:rsidRPr="00F20115">
        <w:t xml:space="preserve"> including $350</w:t>
      </w:r>
      <w:r>
        <w:t>m</w:t>
      </w:r>
      <w:r w:rsidRPr="00F20115">
        <w:t xml:space="preserve"> to seal the</w:t>
      </w:r>
      <w:r>
        <w:t xml:space="preserve"> </w:t>
      </w:r>
      <w:r w:rsidRPr="00F20115">
        <w:t>Tanami Road and Central Arnhem Road</w:t>
      </w:r>
    </w:p>
    <w:p w14:paraId="3DE3D560" w14:textId="244262DE" w:rsidR="00F20115" w:rsidRDefault="00F20115" w:rsidP="00F20115"/>
    <w:p w14:paraId="21D79247" w14:textId="54A5F624" w:rsidR="00F20115" w:rsidRPr="00F20115" w:rsidRDefault="00F20115" w:rsidP="00F20115">
      <w:pPr>
        <w:rPr>
          <w:b/>
          <w:bCs/>
        </w:rPr>
      </w:pPr>
      <w:r w:rsidRPr="00F20115">
        <w:rPr>
          <w:b/>
          <w:bCs/>
        </w:rPr>
        <w:t>Queensland</w:t>
      </w:r>
    </w:p>
    <w:p w14:paraId="06F2AC0B" w14:textId="027E0091" w:rsidR="00F20115" w:rsidRDefault="00F20115" w:rsidP="00F20115">
      <w:pPr>
        <w:pStyle w:val="ListParagraph"/>
      </w:pPr>
      <w:r>
        <w:t>$2.1bn including $866.4m for the Bruce Highway, $400.0m for the Inland Freight Route (Mungindi to Charters Towers) upgrades, $400.0m for Beef Corridors and $210.0m for the Kuranda Range Road upgrade</w:t>
      </w:r>
    </w:p>
    <w:p w14:paraId="7DE0B6EA" w14:textId="77777777" w:rsidR="00F20115" w:rsidRDefault="00F20115" w:rsidP="00F20115"/>
    <w:p w14:paraId="4E22A35D" w14:textId="5A80DC0E" w:rsidR="00F20115" w:rsidRDefault="00F20115" w:rsidP="00F20115">
      <w:pPr>
        <w:rPr>
          <w:b/>
          <w:bCs/>
        </w:rPr>
      </w:pPr>
      <w:r>
        <w:rPr>
          <w:b/>
          <w:bCs/>
        </w:rPr>
        <w:t>South Australia</w:t>
      </w:r>
    </w:p>
    <w:p w14:paraId="1C86E599" w14:textId="39947BB0" w:rsidR="00F20115" w:rsidRDefault="00F20115" w:rsidP="00F20115">
      <w:pPr>
        <w:pStyle w:val="ListParagraph"/>
      </w:pPr>
      <w:r w:rsidRPr="00F20115">
        <w:t>$460m including $400m for the South Australian component of the Freight Highway Upgrade Program</w:t>
      </w:r>
      <w:r>
        <w:t>.</w:t>
      </w:r>
    </w:p>
    <w:p w14:paraId="1059CFFA" w14:textId="77777777" w:rsidR="00F20115" w:rsidRPr="00F20115" w:rsidRDefault="00F20115" w:rsidP="00F20115">
      <w:pPr>
        <w:pStyle w:val="ListParagraph"/>
        <w:numPr>
          <w:ilvl w:val="0"/>
          <w:numId w:val="0"/>
        </w:numPr>
        <w:ind w:left="720"/>
      </w:pPr>
    </w:p>
    <w:p w14:paraId="123B93E9" w14:textId="0007547E" w:rsidR="00F20115" w:rsidRDefault="00F20115" w:rsidP="00F20115">
      <w:pPr>
        <w:rPr>
          <w:b/>
          <w:bCs/>
        </w:rPr>
      </w:pPr>
      <w:r>
        <w:rPr>
          <w:b/>
          <w:bCs/>
        </w:rPr>
        <w:t>Tasmania</w:t>
      </w:r>
    </w:p>
    <w:p w14:paraId="344112CE" w14:textId="45916FA3" w:rsidR="00F20115" w:rsidRPr="00FB194D" w:rsidRDefault="00FB194D" w:rsidP="00FB194D">
      <w:pPr>
        <w:pStyle w:val="ListParagraph"/>
      </w:pPr>
      <w:r w:rsidRPr="00FB194D">
        <w:t>$78</w:t>
      </w:r>
      <w:r>
        <w:t>m</w:t>
      </w:r>
      <w:r w:rsidRPr="00FB194D">
        <w:t xml:space="preserve"> for projects in Tasmania, including $48.0 million for the Tasmanian Roads Package</w:t>
      </w:r>
    </w:p>
    <w:p w14:paraId="0A9D0D42" w14:textId="77777777" w:rsidR="00FB194D" w:rsidRDefault="00FB194D" w:rsidP="00F20115">
      <w:pPr>
        <w:rPr>
          <w:b/>
          <w:bCs/>
        </w:rPr>
      </w:pPr>
    </w:p>
    <w:p w14:paraId="32DFE306" w14:textId="715CA7C4" w:rsidR="00F20115" w:rsidRPr="00F20115" w:rsidRDefault="00F20115" w:rsidP="00F20115">
      <w:pPr>
        <w:rPr>
          <w:b/>
          <w:bCs/>
        </w:rPr>
      </w:pPr>
      <w:r w:rsidRPr="00F20115">
        <w:rPr>
          <w:b/>
          <w:bCs/>
        </w:rPr>
        <w:t>Victoria</w:t>
      </w:r>
    </w:p>
    <w:p w14:paraId="6199EB88" w14:textId="0DC0C7F4" w:rsidR="00F20115" w:rsidRDefault="00F20115" w:rsidP="00F20115">
      <w:pPr>
        <w:pStyle w:val="ListParagraph"/>
      </w:pPr>
      <w:r>
        <w:t>$2.6bn including $2.2bn for the Suburban Rail Loop East</w:t>
      </w:r>
    </w:p>
    <w:p w14:paraId="255F9E79" w14:textId="0D4A7AAE" w:rsidR="00F20115" w:rsidRDefault="00F20115" w:rsidP="00F20115"/>
    <w:p w14:paraId="7D512DAA" w14:textId="77777777" w:rsidR="005F5E60" w:rsidRDefault="005F5E60" w:rsidP="00F20115"/>
    <w:p w14:paraId="41D3DD2F" w14:textId="4F991C27" w:rsidR="00F20115" w:rsidRPr="00F20115" w:rsidRDefault="00F20115" w:rsidP="00F20115">
      <w:pPr>
        <w:rPr>
          <w:b/>
          <w:bCs/>
        </w:rPr>
      </w:pPr>
      <w:r w:rsidRPr="00F20115">
        <w:rPr>
          <w:b/>
          <w:bCs/>
        </w:rPr>
        <w:t>Western Australia</w:t>
      </w:r>
    </w:p>
    <w:p w14:paraId="66409BE7" w14:textId="77777777" w:rsidR="00CE2924" w:rsidRDefault="00F20115" w:rsidP="00CE2924">
      <w:pPr>
        <w:pStyle w:val="ListParagraph"/>
      </w:pPr>
      <w:r>
        <w:t>$634.8m including $400.0 million for the Alice Springs to Halls Creek Corridor upgrade and $125m for electric bus charging infrastructure in Perth</w:t>
      </w:r>
    </w:p>
    <w:p w14:paraId="0E2FDBA4" w14:textId="77777777" w:rsidR="00CE2924" w:rsidRPr="00CE2924" w:rsidRDefault="00CE2924" w:rsidP="00CE2924"/>
    <w:p w14:paraId="053494FF" w14:textId="550DD1A0" w:rsidR="00CE2924" w:rsidRPr="00CE2924" w:rsidRDefault="00CE2924" w:rsidP="00CE2924">
      <w:r w:rsidRPr="00CE2924">
        <w:rPr>
          <w:b/>
          <w:bCs/>
        </w:rPr>
        <w:t>National</w:t>
      </w:r>
    </w:p>
    <w:p w14:paraId="012ACFC1" w14:textId="4BA6433C" w:rsidR="00CE2924" w:rsidRPr="00CE2924" w:rsidRDefault="00CE2924" w:rsidP="00CE2924">
      <w:pPr>
        <w:pStyle w:val="ListParagraph"/>
      </w:pPr>
      <w:r>
        <w:t>$18m to establish the High Speed Rail Authority to plan, develop, coordinate, oversee and monitor the construction and operation of the high speed rail network.</w:t>
      </w:r>
    </w:p>
    <w:p w14:paraId="38B20CDA" w14:textId="77777777" w:rsidR="00F20115" w:rsidRPr="00F20115" w:rsidRDefault="00F20115" w:rsidP="00F20115"/>
    <w:p w14:paraId="034F3FB9" w14:textId="77777777" w:rsidR="00F20115" w:rsidRDefault="00F20115" w:rsidP="000F1B68"/>
    <w:p w14:paraId="176CE9DD" w14:textId="58CBFCC7" w:rsidR="002E78B7" w:rsidRDefault="002E78B7" w:rsidP="002E78B7">
      <w:pPr>
        <w:pStyle w:val="Heading1"/>
      </w:pPr>
      <w:bookmarkStart w:id="44" w:name="_Toc71694235"/>
      <w:bookmarkStart w:id="45" w:name="_Toc117667202"/>
      <w:r>
        <w:t>The economy</w:t>
      </w:r>
      <w:bookmarkEnd w:id="44"/>
      <w:bookmarkEnd w:id="45"/>
    </w:p>
    <w:p w14:paraId="2E330F47" w14:textId="5F92AD4B" w:rsidR="00D25DE1" w:rsidRDefault="00D25DE1" w:rsidP="00D25DE1">
      <w:r>
        <w:t xml:space="preserve">The Government </w:t>
      </w:r>
      <w:r w:rsidR="001C2357">
        <w:t>appear</w:t>
      </w:r>
      <w:r>
        <w:t xml:space="preserve"> keenly aware of the economic balancing act taking place</w:t>
      </w:r>
      <w:r w:rsidR="00517593">
        <w:t>, keeping the budget predominantly to election promises</w:t>
      </w:r>
      <w:r w:rsidR="00210219">
        <w:t xml:space="preserve"> and </w:t>
      </w:r>
      <w:r w:rsidR="001C2357">
        <w:t xml:space="preserve">redirecting existing initiatives </w:t>
      </w:r>
      <w:r w:rsidR="00210219">
        <w:t>to</w:t>
      </w:r>
      <w:r w:rsidR="001C2357">
        <w:t xml:space="preserve"> </w:t>
      </w:r>
      <w:r w:rsidR="00210219">
        <w:t xml:space="preserve">avoid </w:t>
      </w:r>
      <w:r w:rsidR="008C010C">
        <w:t>exacerbat</w:t>
      </w:r>
      <w:r w:rsidR="00210219">
        <w:t>ing</w:t>
      </w:r>
      <w:r w:rsidR="008C010C">
        <w:t xml:space="preserve"> inflationary pressure</w:t>
      </w:r>
      <w:r w:rsidR="00210219">
        <w:t>s</w:t>
      </w:r>
      <w:r w:rsidR="008C010C">
        <w:t>.</w:t>
      </w:r>
      <w:r w:rsidR="00210219">
        <w:t xml:space="preserve"> As the Treasurer said “</w:t>
      </w:r>
      <w:r w:rsidR="00210219" w:rsidRPr="00210219">
        <w:t>Australians know this is a time of great challenge and change.</w:t>
      </w:r>
      <w:r w:rsidR="00210219">
        <w:t>”</w:t>
      </w:r>
      <w:r w:rsidR="001C2357">
        <w:t xml:space="preserve"> </w:t>
      </w:r>
      <w:r w:rsidR="00517593">
        <w:t xml:space="preserve"> </w:t>
      </w:r>
    </w:p>
    <w:p w14:paraId="1541D5F6" w14:textId="77777777" w:rsidR="00D25DE1" w:rsidRDefault="00D25DE1" w:rsidP="00D25DE1"/>
    <w:p w14:paraId="09A166E3" w14:textId="52700315" w:rsidR="00D25DE1" w:rsidRDefault="00D25DE1" w:rsidP="00D25DE1">
      <w:r>
        <w:t>The global economic environment has sharply deteriorated. Inflation has risen rapidly across</w:t>
      </w:r>
    </w:p>
    <w:p w14:paraId="24AD4133" w14:textId="02F9EBD6" w:rsidR="00D25DE1" w:rsidRDefault="00D25DE1" w:rsidP="00D25DE1">
      <w:r>
        <w:t>advanced economies. The Russian invasion of Ukraine has significantly driven up global energy costs and exacerbated the impact of poor weather on global food prices.</w:t>
      </w:r>
      <w:r w:rsidR="008C010C">
        <w:t xml:space="preserve"> All of this impacts on Australia.</w:t>
      </w:r>
      <w:r w:rsidR="00FB2A2F">
        <w:t xml:space="preserve"> Here are the highlights:</w:t>
      </w:r>
    </w:p>
    <w:p w14:paraId="4C157F78" w14:textId="77777777" w:rsidR="008C010C" w:rsidRDefault="008C010C" w:rsidP="00D25DE1"/>
    <w:p w14:paraId="7B8B5AC6" w14:textId="44DBB6A8" w:rsidR="00311A14" w:rsidRPr="00311A14" w:rsidRDefault="00311A14" w:rsidP="00311A14">
      <w:r>
        <w:rPr>
          <w:b/>
          <w:bCs/>
        </w:rPr>
        <w:t xml:space="preserve">GDP – </w:t>
      </w:r>
      <w:r w:rsidRPr="00311A14">
        <w:t>Real GDP is forecast to grow by 3¼ per cent in 2022</w:t>
      </w:r>
      <w:r>
        <w:t>-</w:t>
      </w:r>
      <w:r w:rsidRPr="00311A14">
        <w:t>23 before slowing to 1½ per cent in</w:t>
      </w:r>
    </w:p>
    <w:p w14:paraId="2C2667B9" w14:textId="0A4FB6FF" w:rsidR="00311A14" w:rsidRPr="00311A14" w:rsidRDefault="00311A14" w:rsidP="00311A14">
      <w:r w:rsidRPr="00311A14">
        <w:t>2023</w:t>
      </w:r>
      <w:r>
        <w:t>-</w:t>
      </w:r>
      <w:r w:rsidRPr="00311A14">
        <w:t>24, as cost of living pressures and rising interest rates increasingly weigh on household</w:t>
      </w:r>
    </w:p>
    <w:p w14:paraId="7934D4DE" w14:textId="2A664B95" w:rsidR="00311A14" w:rsidRDefault="00311A14" w:rsidP="00311A14">
      <w:r w:rsidRPr="00311A14">
        <w:t>disposable income and consumption.</w:t>
      </w:r>
    </w:p>
    <w:p w14:paraId="316E591D" w14:textId="18E016B7" w:rsidR="00370BC0" w:rsidRDefault="00370BC0" w:rsidP="00311A14"/>
    <w:p w14:paraId="040913E7" w14:textId="217CE2F6" w:rsidR="00370BC0" w:rsidRDefault="00370BC0" w:rsidP="00311A14">
      <w:r>
        <w:t xml:space="preserve">The Government warn that </w:t>
      </w:r>
      <w:r w:rsidR="008C010C">
        <w:t xml:space="preserve">with </w:t>
      </w:r>
      <w:r>
        <w:t xml:space="preserve">the highly uncertain global economic outlook, there are significant risks that could cause a sharper slowdown in domestic activity. Globally, key risks include a ‘hard landing’ or recession across major advanced economies, a sharper-than-expected downturn in China due to COVID-19 outbreaks and the property market downturn, a </w:t>
      </w:r>
      <w:r>
        <w:lastRenderedPageBreak/>
        <w:t>sudden tightening in financial market conditions and further energy price shocks stemming from the Russian invasion of Ukraine, which could drive inflation even higher.</w:t>
      </w:r>
    </w:p>
    <w:p w14:paraId="5D26694D" w14:textId="67042544" w:rsidR="00517593" w:rsidRDefault="00517593" w:rsidP="00311A14"/>
    <w:p w14:paraId="251680CA" w14:textId="59DDCDCA" w:rsidR="00517593" w:rsidRPr="00311A14" w:rsidRDefault="00517593" w:rsidP="00517593">
      <w:r>
        <w:t>And domestically, the full impact of recent floods is highly uncertain as the situation continues to</w:t>
      </w:r>
      <w:r w:rsidR="004546BC">
        <w:t xml:space="preserve"> d</w:t>
      </w:r>
      <w:r>
        <w:t>evelop.</w:t>
      </w:r>
    </w:p>
    <w:p w14:paraId="533F3208" w14:textId="77777777" w:rsidR="00311A14" w:rsidRDefault="00311A14" w:rsidP="00ED0434">
      <w:pPr>
        <w:rPr>
          <w:b/>
          <w:bCs/>
        </w:rPr>
      </w:pPr>
    </w:p>
    <w:p w14:paraId="013B4F9B" w14:textId="3F108E6E" w:rsidR="00ED0434" w:rsidRDefault="0046299D" w:rsidP="00ED0434">
      <w:r>
        <w:rPr>
          <w:b/>
          <w:bCs/>
        </w:rPr>
        <w:t xml:space="preserve">Inflation – </w:t>
      </w:r>
      <w:r w:rsidRPr="0046299D">
        <w:t>forecast to peak at 7¾ per cent in the December quarter of</w:t>
      </w:r>
      <w:r>
        <w:t xml:space="preserve"> </w:t>
      </w:r>
      <w:r w:rsidRPr="0046299D">
        <w:t>2022. Supply disruptions have resulted in large price increases in home building, fuel and</w:t>
      </w:r>
      <w:r>
        <w:t xml:space="preserve"> </w:t>
      </w:r>
      <w:r w:rsidRPr="0046299D">
        <w:t>energy. Food prices remain elevated and have been further exacerbated by recent floods. Some</w:t>
      </w:r>
      <w:r>
        <w:t xml:space="preserve"> </w:t>
      </w:r>
      <w:r w:rsidRPr="0046299D">
        <w:t xml:space="preserve">of these pressures are expected to persist into 2023. </w:t>
      </w:r>
      <w:r w:rsidR="00ED0434">
        <w:t>Inflation is expected to remain elevated at 5¾ per cent over</w:t>
      </w:r>
    </w:p>
    <w:p w14:paraId="5B6998C4" w14:textId="5CC53010" w:rsidR="00ED0434" w:rsidRDefault="00ED0434" w:rsidP="00ED0434">
      <w:r>
        <w:t>2022-23 and 3½ per cent over 2023–24</w:t>
      </w:r>
      <w:r w:rsidR="00A96E8D">
        <w:t xml:space="preserve"> b</w:t>
      </w:r>
      <w:r>
        <w:t>efore gradually easing and returning to within</w:t>
      </w:r>
    </w:p>
    <w:p w14:paraId="50A58342" w14:textId="406E1345" w:rsidR="0046299D" w:rsidRPr="0046299D" w:rsidRDefault="00ED0434" w:rsidP="00ED0434">
      <w:r>
        <w:t>the Reserve Bank’s inflation target by 2024-25.</w:t>
      </w:r>
    </w:p>
    <w:p w14:paraId="6F421B32" w14:textId="77777777" w:rsidR="0046299D" w:rsidRPr="0046299D" w:rsidRDefault="0046299D" w:rsidP="00D25DE1"/>
    <w:p w14:paraId="3E34CA49" w14:textId="01D482AB" w:rsidR="00D44E70" w:rsidRPr="00D44E70" w:rsidRDefault="00D44E70" w:rsidP="00D25DE1">
      <w:r>
        <w:rPr>
          <w:b/>
          <w:bCs/>
        </w:rPr>
        <w:t xml:space="preserve">Deficit – </w:t>
      </w:r>
      <w:r>
        <w:t xml:space="preserve">lower the originally estimated at $36.9bn. However, the </w:t>
      </w:r>
      <w:r w:rsidR="00742584">
        <w:t xml:space="preserve">deficit is expected to climb </w:t>
      </w:r>
      <w:r w:rsidR="0046299D">
        <w:t xml:space="preserve">to over $51bn by 2024-25 </w:t>
      </w:r>
      <w:r w:rsidR="00742584">
        <w:t>with the impact of higher inflation on indexed payments for services, the NDIS in particular.</w:t>
      </w:r>
      <w:r w:rsidR="0046299D">
        <w:t xml:space="preserve"> </w:t>
      </w:r>
    </w:p>
    <w:p w14:paraId="23BCCEAA" w14:textId="77777777" w:rsidR="00D44E70" w:rsidRDefault="00D44E70" w:rsidP="00D25DE1">
      <w:pPr>
        <w:rPr>
          <w:b/>
          <w:bCs/>
        </w:rPr>
      </w:pPr>
    </w:p>
    <w:p w14:paraId="29DDEDFB" w14:textId="3B1694DD" w:rsidR="00D25DE1" w:rsidRDefault="00D25DE1" w:rsidP="00D25DE1">
      <w:r w:rsidRPr="00D44E70">
        <w:rPr>
          <w:b/>
          <w:bCs/>
        </w:rPr>
        <w:t>Gross debt</w:t>
      </w:r>
      <w:r>
        <w:t xml:space="preserve"> – is close to one trillion dollars and is at the highest level as a share of GDP in over 70 years. </w:t>
      </w:r>
    </w:p>
    <w:p w14:paraId="6C59A51E" w14:textId="4100B28E" w:rsidR="0046299D" w:rsidRDefault="0046299D" w:rsidP="00D25DE1"/>
    <w:p w14:paraId="52CECF52" w14:textId="3F75ECC3" w:rsidR="0046299D" w:rsidRDefault="0046299D" w:rsidP="0046299D">
      <w:r w:rsidRPr="0046299D">
        <w:rPr>
          <w:b/>
          <w:bCs/>
        </w:rPr>
        <w:t>Tax receipts</w:t>
      </w:r>
      <w:r>
        <w:t xml:space="preserve"> - revised up by $54.4bn in 2022-23 and $142.0 billion over the 4 years to 2025-26.</w:t>
      </w:r>
    </w:p>
    <w:p w14:paraId="587CFF1D" w14:textId="1F5CE049" w:rsidR="00597FB2" w:rsidRDefault="00597FB2" w:rsidP="0046299D"/>
    <w:p w14:paraId="0497A243" w14:textId="68A7619E" w:rsidR="00597FB2" w:rsidRDefault="00597FB2" w:rsidP="00597FB2">
      <w:r w:rsidRPr="00597FB2">
        <w:rPr>
          <w:b/>
          <w:bCs/>
        </w:rPr>
        <w:t>Unemployment and wages growth</w:t>
      </w:r>
      <w:r>
        <w:t xml:space="preserve"> - labour market conditions are expected to remain tight. The unemployment rate is forecast to</w:t>
      </w:r>
    </w:p>
    <w:p w14:paraId="48389977" w14:textId="296C86E2" w:rsidR="00597FB2" w:rsidRDefault="00597FB2" w:rsidP="00597FB2">
      <w:r>
        <w:t xml:space="preserve">rise to 4½ per cent by the June quarter of 2024. </w:t>
      </w:r>
    </w:p>
    <w:p w14:paraId="26552691" w14:textId="2FB445D7" w:rsidR="00597FB2" w:rsidRDefault="00597FB2" w:rsidP="00597FB2">
      <w:r>
        <w:t xml:space="preserve">Tight labour market conditions are expected to see annual wage growth pick up to 3¾ per cent by June 2023. However, high inflation is </w:t>
      </w:r>
    </w:p>
    <w:p w14:paraId="4915171B" w14:textId="02EF1CE9" w:rsidR="00597FB2" w:rsidRDefault="00597FB2" w:rsidP="00597FB2">
      <w:r>
        <w:t>expected to see real wages fall over 2022-23 before rising slightly over 2023-24.</w:t>
      </w:r>
    </w:p>
    <w:p w14:paraId="2A34D549" w14:textId="61878CB7" w:rsidR="00CA3C1C" w:rsidRDefault="00CA3C1C" w:rsidP="00597FB2"/>
    <w:p w14:paraId="3E26AAEE" w14:textId="7764DB94" w:rsidR="00CA3C1C" w:rsidRDefault="00CA3C1C" w:rsidP="00935E2E">
      <w:r w:rsidRPr="00CA3C1C">
        <w:rPr>
          <w:b/>
          <w:bCs/>
        </w:rPr>
        <w:t>Energy</w:t>
      </w:r>
      <w:r>
        <w:t xml:space="preserve"> - Electricity and gas prices are expected to rise sharply over the next 2 years, as the cost </w:t>
      </w:r>
      <w:r>
        <w:t>of energy market disruptions are passed through to households.</w:t>
      </w:r>
      <w:r w:rsidR="00935E2E">
        <w:t xml:space="preserve"> Treasury has assumed retail electricity prices will increase by an average of 20% nationally in late 2022. Retail electricity prices are expected to rise by a further 30% in 2023-24.</w:t>
      </w:r>
    </w:p>
    <w:p w14:paraId="7348B15A" w14:textId="4B70FCE3" w:rsidR="00FB2A2F" w:rsidRDefault="00FB2A2F" w:rsidP="00935E2E"/>
    <w:p w14:paraId="48A260DD" w14:textId="4963F42C" w:rsidR="00FB2A2F" w:rsidRDefault="00FB2A2F" w:rsidP="00FB2A2F">
      <w:r>
        <w:t>Domestic gas prices remain more than double their average prior to Russia’s invasion of Ukraine. Retail prices are expected to increase by up to 20% in 2022-23 and 2023-24.</w:t>
      </w:r>
    </w:p>
    <w:p w14:paraId="54CBEBC8" w14:textId="77777777" w:rsidR="00597FB2" w:rsidRPr="00D25DE1" w:rsidRDefault="00597FB2" w:rsidP="0046299D"/>
    <w:p w14:paraId="662D22BB" w14:textId="77777777" w:rsidR="00C256CB" w:rsidRDefault="00C256CB" w:rsidP="00427152">
      <w:pPr>
        <w:rPr>
          <w:b/>
          <w:bCs/>
        </w:rPr>
      </w:pPr>
    </w:p>
    <w:p w14:paraId="7301D52C" w14:textId="77777777" w:rsidR="00246092" w:rsidRDefault="00246092" w:rsidP="00427152"/>
    <w:p w14:paraId="5F4D252B" w14:textId="77777777" w:rsidR="00246092" w:rsidRDefault="00246092" w:rsidP="00427152"/>
    <w:p w14:paraId="482DCB79" w14:textId="2147D42A" w:rsidR="000B6FD0" w:rsidRDefault="000B6FD0" w:rsidP="000B6FD0"/>
    <w:p w14:paraId="3E729EAD" w14:textId="75A9BFB4" w:rsidR="00430877" w:rsidRPr="00430877" w:rsidRDefault="00430877" w:rsidP="00430877">
      <w:pPr>
        <w:rPr>
          <w:i/>
          <w:iCs/>
          <w:sz w:val="20"/>
          <w:szCs w:val="20"/>
        </w:rPr>
      </w:pPr>
    </w:p>
    <w:sectPr w:rsidR="00430877" w:rsidRPr="00430877" w:rsidSect="00C37D71">
      <w:type w:val="continuous"/>
      <w:pgSz w:w="11906" w:h="16838" w:code="9"/>
      <w:pgMar w:top="1985" w:right="1416" w:bottom="1134" w:left="1418" w:header="709" w:footer="567" w:gutter="0"/>
      <w:cols w:num="2"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FDD0A" w14:textId="77777777" w:rsidR="00414014" w:rsidRDefault="00414014" w:rsidP="00DA6B36">
      <w:pPr>
        <w:spacing w:line="240" w:lineRule="auto"/>
      </w:pPr>
      <w:r>
        <w:separator/>
      </w:r>
    </w:p>
  </w:endnote>
  <w:endnote w:type="continuationSeparator" w:id="0">
    <w:p w14:paraId="68639AD1" w14:textId="77777777" w:rsidR="00414014" w:rsidRDefault="00414014" w:rsidP="00DA6B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ierstadt">
    <w:panose1 w:val="020B0004020202020204"/>
    <w:charset w:val="00"/>
    <w:family w:val="swiss"/>
    <w:pitch w:val="variable"/>
    <w:sig w:usb0="80000003" w:usb1="00000001"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inionPro-Regular">
    <w:altName w:val="Cambria"/>
    <w:panose1 w:val="020B0604020202020204"/>
    <w:charset w:val="4D"/>
    <w:family w:val="auto"/>
    <w:notTrueType/>
    <w:pitch w:val="default"/>
    <w:sig w:usb0="00000003" w:usb1="00000000" w:usb2="00000000" w:usb3="00000000" w:csb0="00000001" w:csb1="00000000"/>
  </w:font>
  <w:font w:name="Univers (W1)">
    <w:altName w:val="Arial"/>
    <w:panose1 w:val="020B0604020202020204"/>
    <w:charset w:val="00"/>
    <w:family w:val="auto"/>
    <w:notTrueType/>
    <w:pitch w:val="default"/>
    <w:sig w:usb0="00000003" w:usb1="00000000" w:usb2="00000000" w:usb3="00000000" w:csb0="00000001" w:csb1="00000000"/>
  </w:font>
  <w:font w:name="Times New Roman (Body C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907"/>
      <w:gridCol w:w="8165"/>
    </w:tblGrid>
    <w:tr w:rsidR="00251B1A" w14:paraId="46266AFD" w14:textId="77777777" w:rsidTr="005C2BD5">
      <w:tc>
        <w:tcPr>
          <w:tcW w:w="500" w:type="pct"/>
          <w:tcBorders>
            <w:top w:val="single" w:sz="4" w:space="0" w:color="7F7F7F" w:themeColor="text1" w:themeTint="80"/>
            <w:right w:val="single" w:sz="4" w:space="0" w:color="BFBFBF" w:themeColor="background1" w:themeShade="BF"/>
          </w:tcBorders>
          <w:shd w:val="clear" w:color="auto" w:fill="auto"/>
        </w:tcPr>
        <w:p w14:paraId="44C925C0" w14:textId="77777777" w:rsidR="00251B1A" w:rsidRPr="00312B9A" w:rsidRDefault="00251B1A" w:rsidP="00312B9A">
          <w:pPr>
            <w:pStyle w:val="Footer"/>
            <w:rPr>
              <w:b/>
              <w:sz w:val="18"/>
              <w:szCs w:val="18"/>
            </w:rPr>
          </w:pPr>
          <w:r w:rsidRPr="00312B9A">
            <w:rPr>
              <w:b/>
              <w:sz w:val="18"/>
              <w:szCs w:val="18"/>
            </w:rPr>
            <w:fldChar w:fldCharType="begin"/>
          </w:r>
          <w:r w:rsidRPr="00312B9A">
            <w:rPr>
              <w:b/>
              <w:sz w:val="18"/>
              <w:szCs w:val="18"/>
            </w:rPr>
            <w:instrText xml:space="preserve"> PAGE   \* MERGEFORMAT </w:instrText>
          </w:r>
          <w:r w:rsidRPr="00312B9A">
            <w:rPr>
              <w:b/>
              <w:sz w:val="18"/>
              <w:szCs w:val="18"/>
            </w:rPr>
            <w:fldChar w:fldCharType="separate"/>
          </w:r>
          <w:r>
            <w:rPr>
              <w:b/>
              <w:noProof/>
              <w:sz w:val="18"/>
              <w:szCs w:val="18"/>
            </w:rPr>
            <w:t>22</w:t>
          </w:r>
          <w:r w:rsidRPr="00312B9A">
            <w:rPr>
              <w:b/>
              <w:sz w:val="18"/>
              <w:szCs w:val="18"/>
            </w:rPr>
            <w:fldChar w:fldCharType="end"/>
          </w:r>
        </w:p>
      </w:tc>
      <w:tc>
        <w:tcPr>
          <w:tcW w:w="4500" w:type="pct"/>
          <w:tcBorders>
            <w:top w:val="single" w:sz="4" w:space="0" w:color="7F7F7F" w:themeColor="text1" w:themeTint="80"/>
            <w:left w:val="single" w:sz="4" w:space="0" w:color="BFBFBF" w:themeColor="background1" w:themeShade="BF"/>
          </w:tcBorders>
        </w:tcPr>
        <w:p w14:paraId="73BA1E39" w14:textId="16BF1F9F" w:rsidR="00251B1A" w:rsidRPr="00167E88" w:rsidRDefault="00251B1A" w:rsidP="00CC4546">
          <w:pPr>
            <w:pStyle w:val="Footer"/>
            <w:rPr>
              <w:sz w:val="18"/>
              <w:szCs w:val="18"/>
            </w:rPr>
          </w:pPr>
          <w:r w:rsidRPr="00167E88">
            <w:rPr>
              <w:sz w:val="18"/>
              <w:szCs w:val="18"/>
            </w:rPr>
            <w:fldChar w:fldCharType="begin"/>
          </w:r>
          <w:r w:rsidRPr="00167E88">
            <w:rPr>
              <w:sz w:val="18"/>
              <w:szCs w:val="18"/>
            </w:rPr>
            <w:instrText xml:space="preserve"> STYLEREF  "1"  </w:instrText>
          </w:r>
          <w:r w:rsidRPr="00167E88">
            <w:rPr>
              <w:sz w:val="18"/>
              <w:szCs w:val="18"/>
            </w:rPr>
            <w:fldChar w:fldCharType="separate"/>
          </w:r>
          <w:r w:rsidR="008C4452">
            <w:rPr>
              <w:noProof/>
              <w:sz w:val="18"/>
              <w:szCs w:val="18"/>
            </w:rPr>
            <w:t>Shuffling the decks: 2022-23 Budget 2.0</w:t>
          </w:r>
          <w:r w:rsidRPr="00167E88">
            <w:rPr>
              <w:sz w:val="18"/>
              <w:szCs w:val="18"/>
            </w:rPr>
            <w:fldChar w:fldCharType="end"/>
          </w:r>
          <w:r w:rsidRPr="00167E88">
            <w:rPr>
              <w:sz w:val="18"/>
              <w:szCs w:val="18"/>
            </w:rPr>
            <w:t xml:space="preserve"> | </w:t>
          </w:r>
        </w:p>
      </w:tc>
    </w:tr>
  </w:tbl>
  <w:p w14:paraId="4AE35688" w14:textId="77777777" w:rsidR="00251B1A" w:rsidRPr="00126976" w:rsidRDefault="00251B1A">
    <w:pPr>
      <w:pStyle w:val="Footer"/>
      <w:rPr>
        <w:sz w:val="2"/>
        <w:szCs w:val="2"/>
      </w:rPr>
    </w:pPr>
  </w:p>
  <w:p w14:paraId="0E7B8B75" w14:textId="77777777" w:rsidR="00251B1A" w:rsidRPr="003D09B2" w:rsidRDefault="00251B1A">
    <w:pP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8165"/>
      <w:gridCol w:w="907"/>
    </w:tblGrid>
    <w:tr w:rsidR="00251B1A" w14:paraId="1AF712CD" w14:textId="77777777" w:rsidTr="002A0659">
      <w:tc>
        <w:tcPr>
          <w:tcW w:w="4500" w:type="pct"/>
          <w:tcBorders>
            <w:top w:val="single" w:sz="4" w:space="0" w:color="7F7F7F" w:themeColor="text1" w:themeTint="80"/>
            <w:right w:val="single" w:sz="4" w:space="0" w:color="7F7F7F" w:themeColor="text1" w:themeTint="80"/>
          </w:tcBorders>
        </w:tcPr>
        <w:p w14:paraId="3B21C5C5" w14:textId="7926A58A" w:rsidR="00251B1A" w:rsidRPr="002A0659" w:rsidRDefault="00414014">
          <w:pPr>
            <w:pStyle w:val="Footer"/>
            <w:jc w:val="right"/>
            <w:rPr>
              <w:sz w:val="18"/>
              <w:szCs w:val="18"/>
            </w:rPr>
          </w:pPr>
          <w:sdt>
            <w:sdtPr>
              <w:rPr>
                <w:sz w:val="18"/>
                <w:szCs w:val="18"/>
              </w:rPr>
              <w:alias w:val="Company"/>
              <w:id w:val="-417483945"/>
              <w:dataBinding w:prefixMappings="xmlns:ns0='http://schemas.openxmlformats.org/officeDocument/2006/extended-properties'" w:xpath="/ns0:Properties[1]/ns0:Company[1]" w:storeItemID="{6668398D-A668-4E3E-A5EB-62B293D839F1}"/>
              <w:text/>
            </w:sdtPr>
            <w:sdtEndPr/>
            <w:sdtContent>
              <w:r w:rsidR="000D5693">
                <w:rPr>
                  <w:sz w:val="18"/>
                  <w:szCs w:val="18"/>
                </w:rPr>
                <w:t>© Knowledge Shop Pty</w:t>
              </w:r>
            </w:sdtContent>
          </w:sdt>
          <w:r w:rsidR="00251B1A" w:rsidRPr="002A0659">
            <w:rPr>
              <w:sz w:val="18"/>
              <w:szCs w:val="18"/>
            </w:rPr>
            <w:t xml:space="preserve"> | </w:t>
          </w:r>
          <w:r w:rsidR="00251B1A" w:rsidRPr="002A0659">
            <w:rPr>
              <w:sz w:val="18"/>
              <w:szCs w:val="18"/>
            </w:rPr>
            <w:fldChar w:fldCharType="begin"/>
          </w:r>
          <w:r w:rsidR="00251B1A" w:rsidRPr="002A0659">
            <w:rPr>
              <w:sz w:val="18"/>
              <w:szCs w:val="18"/>
            </w:rPr>
            <w:instrText xml:space="preserve"> STYLEREF  "1"  </w:instrText>
          </w:r>
          <w:r w:rsidR="00251B1A" w:rsidRPr="002A0659">
            <w:rPr>
              <w:sz w:val="18"/>
              <w:szCs w:val="18"/>
            </w:rPr>
            <w:fldChar w:fldCharType="separate"/>
          </w:r>
          <w:r w:rsidR="008C4452">
            <w:rPr>
              <w:noProof/>
              <w:sz w:val="18"/>
              <w:szCs w:val="18"/>
            </w:rPr>
            <w:t>Shuffling the decks: 2022-23 Budget 2.0</w:t>
          </w:r>
          <w:r w:rsidR="00251B1A" w:rsidRPr="002A0659">
            <w:rPr>
              <w:sz w:val="18"/>
              <w:szCs w:val="18"/>
            </w:rPr>
            <w:fldChar w:fldCharType="end"/>
          </w:r>
        </w:p>
      </w:tc>
      <w:tc>
        <w:tcPr>
          <w:tcW w:w="500" w:type="pct"/>
          <w:tcBorders>
            <w:top w:val="single" w:sz="4" w:space="0" w:color="7F7F7F" w:themeColor="text1" w:themeTint="80"/>
            <w:left w:val="single" w:sz="4" w:space="0" w:color="7F7F7F" w:themeColor="text1" w:themeTint="80"/>
          </w:tcBorders>
          <w:shd w:val="clear" w:color="auto" w:fill="auto"/>
        </w:tcPr>
        <w:p w14:paraId="19ACF31B" w14:textId="77777777" w:rsidR="00251B1A" w:rsidRPr="002A0659" w:rsidRDefault="00251B1A" w:rsidP="002A0659">
          <w:pPr>
            <w:pStyle w:val="Header"/>
            <w:jc w:val="right"/>
            <w:rPr>
              <w:b/>
              <w:sz w:val="18"/>
              <w:szCs w:val="18"/>
            </w:rPr>
          </w:pPr>
          <w:r w:rsidRPr="002A0659">
            <w:rPr>
              <w:b/>
              <w:sz w:val="18"/>
              <w:szCs w:val="18"/>
            </w:rPr>
            <w:fldChar w:fldCharType="begin"/>
          </w:r>
          <w:r w:rsidRPr="002A0659">
            <w:rPr>
              <w:b/>
              <w:sz w:val="18"/>
              <w:szCs w:val="18"/>
            </w:rPr>
            <w:instrText xml:space="preserve"> PAGE   \* MERGEFORMAT </w:instrText>
          </w:r>
          <w:r w:rsidRPr="002A0659">
            <w:rPr>
              <w:b/>
              <w:sz w:val="18"/>
              <w:szCs w:val="18"/>
            </w:rPr>
            <w:fldChar w:fldCharType="separate"/>
          </w:r>
          <w:r>
            <w:rPr>
              <w:b/>
              <w:noProof/>
              <w:sz w:val="18"/>
              <w:szCs w:val="18"/>
            </w:rPr>
            <w:t>23</w:t>
          </w:r>
          <w:r w:rsidRPr="002A0659">
            <w:rPr>
              <w:b/>
              <w:sz w:val="18"/>
              <w:szCs w:val="18"/>
            </w:rPr>
            <w:fldChar w:fldCharType="end"/>
          </w:r>
        </w:p>
      </w:tc>
    </w:tr>
  </w:tbl>
  <w:p w14:paraId="1398FA99" w14:textId="77777777" w:rsidR="00251B1A" w:rsidRPr="003D09B2" w:rsidRDefault="00251B1A">
    <w:pP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B41D9" w14:textId="77777777" w:rsidR="00414014" w:rsidRDefault="00414014" w:rsidP="00DA6B36">
      <w:pPr>
        <w:spacing w:line="240" w:lineRule="auto"/>
      </w:pPr>
      <w:r>
        <w:separator/>
      </w:r>
    </w:p>
  </w:footnote>
  <w:footnote w:type="continuationSeparator" w:id="0">
    <w:p w14:paraId="302FE555" w14:textId="77777777" w:rsidR="00414014" w:rsidRDefault="00414014" w:rsidP="00DA6B3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A4ED9"/>
    <w:multiLevelType w:val="hybridMultilevel"/>
    <w:tmpl w:val="2548B5FC"/>
    <w:lvl w:ilvl="0" w:tplc="B7F24C58">
      <w:start w:val="1"/>
      <w:numFmt w:val="bullet"/>
      <w:pStyle w:val="LightGrid-Accent31"/>
      <w:lvlText w:val=""/>
      <w:lvlJc w:val="left"/>
      <w:pPr>
        <w:ind w:left="1440" w:hanging="360"/>
      </w:pPr>
      <w:rPr>
        <w:rFonts w:ascii="Symbol" w:hAnsi="Symbol" w:hint="default"/>
        <w:color w:val="A6A6A6"/>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0757CBC"/>
    <w:multiLevelType w:val="singleLevel"/>
    <w:tmpl w:val="103C53FC"/>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2" w15:restartNumberingAfterBreak="0">
    <w:nsid w:val="126265BA"/>
    <w:multiLevelType w:val="multilevel"/>
    <w:tmpl w:val="C0EA599C"/>
    <w:styleLink w:val="Style1"/>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2542C87"/>
    <w:multiLevelType w:val="multilevel"/>
    <w:tmpl w:val="5B36B682"/>
    <w:styleLink w:val="KSNumberChecklist"/>
    <w:lvl w:ilvl="0">
      <w:start w:val="1"/>
      <w:numFmt w:val="upperLetter"/>
      <w:lvlText w:val="%1."/>
      <w:lvlJc w:val="left"/>
      <w:pPr>
        <w:ind w:left="0" w:firstLine="0"/>
      </w:pPr>
      <w:rPr>
        <w:rFonts w:asciiTheme="minorHAnsi" w:hAnsiTheme="minorHAnsi" w:hint="default"/>
        <w:b w:val="0"/>
        <w:i w:val="0"/>
        <w:caps w:val="0"/>
        <w:strike w:val="0"/>
        <w:dstrike w:val="0"/>
        <w:vanish w:val="0"/>
        <w:color w:val="auto"/>
        <w:sz w:val="18"/>
        <w:vertAlign w:val="baseline"/>
      </w:rPr>
    </w:lvl>
    <w:lvl w:ilvl="1">
      <w:start w:val="1"/>
      <w:numFmt w:val="decimal"/>
      <w:lvlText w:val="%2."/>
      <w:lvlJc w:val="left"/>
      <w:pPr>
        <w:ind w:left="0" w:firstLine="0"/>
      </w:pPr>
      <w:rPr>
        <w:rFonts w:hint="default"/>
        <w:color w:val="auto"/>
        <w:sz w:val="18"/>
      </w:rPr>
    </w:lvl>
    <w:lvl w:ilvl="2">
      <w:start w:val="1"/>
      <w:numFmt w:val="decimal"/>
      <w:lvlText w:val="%2.%3."/>
      <w:lvlJc w:val="left"/>
      <w:pPr>
        <w:ind w:left="0" w:firstLine="0"/>
      </w:pPr>
      <w:rPr>
        <w:rFonts w:asciiTheme="minorHAnsi" w:hAnsiTheme="minorHAnsi" w:hint="default"/>
        <w:color w:val="auto"/>
        <w:sz w:val="18"/>
      </w:rPr>
    </w:lvl>
    <w:lvl w:ilvl="3">
      <w:start w:val="1"/>
      <w:numFmt w:val="decimal"/>
      <w:lvlText w:val="%2.%3.%4."/>
      <w:lvlJc w:val="left"/>
      <w:pPr>
        <w:ind w:left="0" w:firstLine="0"/>
      </w:pPr>
      <w:rPr>
        <w:rFonts w:asciiTheme="minorHAnsi" w:hAnsiTheme="minorHAnsi" w:hint="default"/>
        <w:b w:val="0"/>
        <w:i w:val="0"/>
        <w:sz w:val="18"/>
      </w:rPr>
    </w:lvl>
    <w:lvl w:ilvl="4">
      <w:start w:val="1"/>
      <w:numFmt w:val="decimal"/>
      <w:lvlText w:val="%2.%3.%4.%5."/>
      <w:lvlJc w:val="left"/>
      <w:pPr>
        <w:ind w:left="0" w:firstLine="0"/>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27440C8B"/>
    <w:multiLevelType w:val="multilevel"/>
    <w:tmpl w:val="CB5C4156"/>
    <w:lvl w:ilvl="0">
      <w:start w:val="1"/>
      <w:numFmt w:val="bullet"/>
      <w:lvlRestart w:val="0"/>
      <w:pStyle w:val="Bullet"/>
      <w:lvlText w:val="•"/>
      <w:lvlJc w:val="left"/>
      <w:pPr>
        <w:tabs>
          <w:tab w:val="num" w:pos="566"/>
        </w:tabs>
        <w:ind w:left="566" w:hanging="566"/>
      </w:pPr>
      <w:rPr>
        <w:rFonts w:ascii="Times New Roman" w:hAnsi="Times New Roman"/>
        <w:b w:val="0"/>
        <w:i w:val="0"/>
      </w:rPr>
    </w:lvl>
    <w:lvl w:ilvl="1">
      <w:start w:val="1"/>
      <w:numFmt w:val="bullet"/>
      <w:pStyle w:val="Dash"/>
      <w:lvlText w:val="–"/>
      <w:lvlJc w:val="left"/>
      <w:pPr>
        <w:tabs>
          <w:tab w:val="num" w:pos="1134"/>
        </w:tabs>
        <w:ind w:left="1134" w:hanging="568"/>
      </w:pPr>
      <w:rPr>
        <w:rFonts w:ascii="Times New Roman" w:hAnsi="Times New Roman"/>
        <w:b w:val="0"/>
        <w:i w:val="0"/>
      </w:rPr>
    </w:lvl>
    <w:lvl w:ilvl="2">
      <w:start w:val="1"/>
      <w:numFmt w:val="bullet"/>
      <w:pStyle w:val="Dash"/>
      <w:lvlText w:val=":"/>
      <w:lvlJc w:val="left"/>
      <w:pPr>
        <w:tabs>
          <w:tab w:val="num" w:pos="1700"/>
        </w:tabs>
        <w:ind w:left="1700" w:hanging="566"/>
      </w:pPr>
      <w:rPr>
        <w:rFonts w:ascii="Times New Roman" w:hAnsi="Times New Roman"/>
        <w:b w:val="0"/>
        <w:i w:val="0"/>
      </w:rPr>
    </w:lvl>
    <w:lvl w:ilvl="3">
      <w:start w:val="1"/>
      <w:numFmt w:val="decimal"/>
      <w:lvlText w:val="(%4)"/>
      <w:lvlJc w:val="left"/>
      <w:pPr>
        <w:tabs>
          <w:tab w:val="num" w:pos="1440"/>
        </w:tabs>
        <w:ind w:left="1440" w:hanging="360"/>
      </w:pPr>
      <w:rPr>
        <w:rFonts w:cs="Times New Roman"/>
        <w:b w:val="0"/>
        <w:i w:val="0"/>
      </w:rPr>
    </w:lvl>
    <w:lvl w:ilvl="4">
      <w:start w:val="1"/>
      <w:numFmt w:val="lowerLetter"/>
      <w:lvlText w:val="(%5)"/>
      <w:lvlJc w:val="left"/>
      <w:pPr>
        <w:tabs>
          <w:tab w:val="num" w:pos="1800"/>
        </w:tabs>
        <w:ind w:left="1800" w:hanging="360"/>
      </w:pPr>
      <w:rPr>
        <w:rFonts w:cs="Times New Roman"/>
        <w:b w:val="0"/>
        <w:i w:val="0"/>
      </w:rPr>
    </w:lvl>
    <w:lvl w:ilvl="5">
      <w:start w:val="1"/>
      <w:numFmt w:val="lowerRoman"/>
      <w:lvlText w:val="(%6)"/>
      <w:lvlJc w:val="left"/>
      <w:pPr>
        <w:tabs>
          <w:tab w:val="num" w:pos="2160"/>
        </w:tabs>
        <w:ind w:left="2160" w:hanging="360"/>
      </w:pPr>
      <w:rPr>
        <w:rFonts w:cs="Times New Roman"/>
        <w:b w:val="0"/>
        <w:i w:val="0"/>
      </w:rPr>
    </w:lvl>
    <w:lvl w:ilvl="6">
      <w:start w:val="1"/>
      <w:numFmt w:val="decimal"/>
      <w:lvlText w:val="%7."/>
      <w:lvlJc w:val="left"/>
      <w:pPr>
        <w:tabs>
          <w:tab w:val="num" w:pos="2520"/>
        </w:tabs>
        <w:ind w:left="2520" w:hanging="360"/>
      </w:pPr>
      <w:rPr>
        <w:rFonts w:cs="Times New Roman"/>
        <w:b w:val="0"/>
        <w:i w:val="0"/>
      </w:rPr>
    </w:lvl>
    <w:lvl w:ilvl="7">
      <w:start w:val="1"/>
      <w:numFmt w:val="lowerLetter"/>
      <w:lvlText w:val="%8."/>
      <w:lvlJc w:val="left"/>
      <w:pPr>
        <w:tabs>
          <w:tab w:val="num" w:pos="2880"/>
        </w:tabs>
        <w:ind w:left="2880" w:hanging="360"/>
      </w:pPr>
      <w:rPr>
        <w:rFonts w:cs="Times New Roman"/>
        <w:b w:val="0"/>
        <w:i w:val="0"/>
      </w:rPr>
    </w:lvl>
    <w:lvl w:ilvl="8">
      <w:start w:val="1"/>
      <w:numFmt w:val="lowerRoman"/>
      <w:lvlText w:val="%9."/>
      <w:lvlJc w:val="left"/>
      <w:pPr>
        <w:tabs>
          <w:tab w:val="num" w:pos="3240"/>
        </w:tabs>
        <w:ind w:left="3240" w:hanging="360"/>
      </w:pPr>
      <w:rPr>
        <w:rFonts w:cs="Times New Roman"/>
        <w:b w:val="0"/>
        <w:i w:val="0"/>
      </w:rPr>
    </w:lvl>
  </w:abstractNum>
  <w:abstractNum w:abstractNumId="5" w15:restartNumberingAfterBreak="0">
    <w:nsid w:val="3D714D4B"/>
    <w:multiLevelType w:val="multilevel"/>
    <w:tmpl w:val="A316FE50"/>
    <w:styleLink w:val="ChapterList"/>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F950960"/>
    <w:multiLevelType w:val="multilevel"/>
    <w:tmpl w:val="D2DE0810"/>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pStyle w:val="dotpoint2"/>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7" w15:restartNumberingAfterBreak="0">
    <w:nsid w:val="47F65D26"/>
    <w:multiLevelType w:val="hybridMultilevel"/>
    <w:tmpl w:val="64687A96"/>
    <w:lvl w:ilvl="0" w:tplc="7E6ECAAA">
      <w:start w:val="1"/>
      <w:numFmt w:val="bullet"/>
      <w:pStyle w:val="MediumGrid1-Accent21"/>
      <w:lvlText w:val=""/>
      <w:lvlJc w:val="left"/>
      <w:pPr>
        <w:ind w:left="1004" w:hanging="360"/>
      </w:pPr>
      <w:rPr>
        <w:rFonts w:ascii="Symbol" w:hAnsi="Symbol" w:hint="default"/>
        <w:color w:val="7F7F7F"/>
      </w:rPr>
    </w:lvl>
    <w:lvl w:ilvl="1" w:tplc="0C090019">
      <w:start w:val="1"/>
      <w:numFmt w:val="bullet"/>
      <w:lvlText w:val="o"/>
      <w:lvlJc w:val="left"/>
      <w:pPr>
        <w:ind w:left="2520" w:hanging="360"/>
      </w:pPr>
      <w:rPr>
        <w:rFonts w:ascii="Courier New" w:hAnsi="Courier New" w:cs="Courier New" w:hint="default"/>
      </w:rPr>
    </w:lvl>
    <w:lvl w:ilvl="2" w:tplc="0C09001B" w:tentative="1">
      <w:start w:val="1"/>
      <w:numFmt w:val="bullet"/>
      <w:lvlText w:val=""/>
      <w:lvlJc w:val="left"/>
      <w:pPr>
        <w:ind w:left="3240" w:hanging="360"/>
      </w:pPr>
      <w:rPr>
        <w:rFonts w:ascii="Wingdings" w:hAnsi="Wingdings" w:hint="default"/>
      </w:rPr>
    </w:lvl>
    <w:lvl w:ilvl="3" w:tplc="0C09000F" w:tentative="1">
      <w:start w:val="1"/>
      <w:numFmt w:val="bullet"/>
      <w:lvlText w:val=""/>
      <w:lvlJc w:val="left"/>
      <w:pPr>
        <w:ind w:left="3960" w:hanging="360"/>
      </w:pPr>
      <w:rPr>
        <w:rFonts w:ascii="Symbol" w:hAnsi="Symbol" w:hint="default"/>
      </w:rPr>
    </w:lvl>
    <w:lvl w:ilvl="4" w:tplc="0C090019" w:tentative="1">
      <w:start w:val="1"/>
      <w:numFmt w:val="bullet"/>
      <w:lvlText w:val="o"/>
      <w:lvlJc w:val="left"/>
      <w:pPr>
        <w:ind w:left="4680" w:hanging="360"/>
      </w:pPr>
      <w:rPr>
        <w:rFonts w:ascii="Courier New" w:hAnsi="Courier New" w:cs="Courier New" w:hint="default"/>
      </w:rPr>
    </w:lvl>
    <w:lvl w:ilvl="5" w:tplc="0C09001B" w:tentative="1">
      <w:start w:val="1"/>
      <w:numFmt w:val="bullet"/>
      <w:lvlText w:val=""/>
      <w:lvlJc w:val="left"/>
      <w:pPr>
        <w:ind w:left="5400" w:hanging="360"/>
      </w:pPr>
      <w:rPr>
        <w:rFonts w:ascii="Wingdings" w:hAnsi="Wingdings" w:hint="default"/>
      </w:rPr>
    </w:lvl>
    <w:lvl w:ilvl="6" w:tplc="0C09000F" w:tentative="1">
      <w:start w:val="1"/>
      <w:numFmt w:val="bullet"/>
      <w:lvlText w:val=""/>
      <w:lvlJc w:val="left"/>
      <w:pPr>
        <w:ind w:left="6120" w:hanging="360"/>
      </w:pPr>
      <w:rPr>
        <w:rFonts w:ascii="Symbol" w:hAnsi="Symbol" w:hint="default"/>
      </w:rPr>
    </w:lvl>
    <w:lvl w:ilvl="7" w:tplc="0C090019" w:tentative="1">
      <w:start w:val="1"/>
      <w:numFmt w:val="bullet"/>
      <w:lvlText w:val="o"/>
      <w:lvlJc w:val="left"/>
      <w:pPr>
        <w:ind w:left="6840" w:hanging="360"/>
      </w:pPr>
      <w:rPr>
        <w:rFonts w:ascii="Courier New" w:hAnsi="Courier New" w:cs="Courier New" w:hint="default"/>
      </w:rPr>
    </w:lvl>
    <w:lvl w:ilvl="8" w:tplc="0C09001B" w:tentative="1">
      <w:start w:val="1"/>
      <w:numFmt w:val="bullet"/>
      <w:lvlText w:val=""/>
      <w:lvlJc w:val="left"/>
      <w:pPr>
        <w:ind w:left="7560" w:hanging="360"/>
      </w:pPr>
      <w:rPr>
        <w:rFonts w:ascii="Wingdings" w:hAnsi="Wingdings" w:hint="default"/>
      </w:rPr>
    </w:lvl>
  </w:abstractNum>
  <w:abstractNum w:abstractNumId="8" w15:restartNumberingAfterBreak="0">
    <w:nsid w:val="4ECE03F4"/>
    <w:multiLevelType w:val="hybridMultilevel"/>
    <w:tmpl w:val="DE249AB8"/>
    <w:lvl w:ilvl="0" w:tplc="60DA107C">
      <w:start w:val="1"/>
      <w:numFmt w:val="bullet"/>
      <w:lvlText w:val=""/>
      <w:lvlJc w:val="left"/>
      <w:pPr>
        <w:ind w:left="567" w:hanging="283"/>
      </w:pPr>
      <w:rPr>
        <w:rFonts w:ascii="Symbol" w:hAnsi="Symbol" w:hint="default"/>
        <w:color w:val="A6A6A6" w:themeColor="background1" w:themeShade="A6"/>
      </w:rPr>
    </w:lvl>
    <w:lvl w:ilvl="1" w:tplc="0C090003">
      <w:start w:val="1"/>
      <w:numFmt w:val="bullet"/>
      <w:lvlText w:val="o"/>
      <w:lvlJc w:val="left"/>
      <w:pPr>
        <w:ind w:left="2160" w:hanging="360"/>
      </w:pPr>
      <w:rPr>
        <w:rFonts w:ascii="Courier New" w:hAnsi="Courier New" w:cs="Courier New" w:hint="default"/>
      </w:rPr>
    </w:lvl>
    <w:lvl w:ilvl="2" w:tplc="3B44EC26"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4F3E42BE"/>
    <w:multiLevelType w:val="hybridMultilevel"/>
    <w:tmpl w:val="AE6CDCA2"/>
    <w:lvl w:ilvl="0" w:tplc="80081548">
      <w:start w:val="1"/>
      <w:numFmt w:val="bullet"/>
      <w:pStyle w:val="ListParagraph"/>
      <w:lvlText w:val=""/>
      <w:lvlJc w:val="left"/>
      <w:pPr>
        <w:ind w:left="720" w:hanging="360"/>
      </w:pPr>
      <w:rPr>
        <w:rFonts w:ascii="Symbol" w:hAnsi="Symbol" w:hint="default"/>
        <w:color w:val="A6A6A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8101827"/>
    <w:multiLevelType w:val="multilevel"/>
    <w:tmpl w:val="3CACDCCC"/>
    <w:lvl w:ilvl="0">
      <w:start w:val="1"/>
      <w:numFmt w:val="bullet"/>
      <w:lvlRestart w:val="0"/>
      <w:pStyle w:val="BoxBullet"/>
      <w:lvlText w:val="•"/>
      <w:lvlJc w:val="left"/>
      <w:pPr>
        <w:tabs>
          <w:tab w:val="num" w:pos="566"/>
        </w:tabs>
        <w:ind w:left="566" w:hanging="566"/>
      </w:pPr>
      <w:rPr>
        <w:rFonts w:ascii="Times New Roman" w:hAnsi="Times New Roman"/>
        <w:b w:val="0"/>
        <w:i w:val="0"/>
        <w:sz w:val="20"/>
      </w:rPr>
    </w:lvl>
    <w:lvl w:ilvl="1">
      <w:start w:val="1"/>
      <w:numFmt w:val="bullet"/>
      <w:pStyle w:val="BoxBullet"/>
      <w:lvlText w:val="–"/>
      <w:lvlJc w:val="left"/>
      <w:pPr>
        <w:tabs>
          <w:tab w:val="num" w:pos="1134"/>
        </w:tabs>
        <w:ind w:left="1134" w:hanging="568"/>
      </w:pPr>
      <w:rPr>
        <w:b w:val="0"/>
        <w:i w:val="0"/>
      </w:rPr>
    </w:lvl>
    <w:lvl w:ilvl="2">
      <w:start w:val="1"/>
      <w:numFmt w:val="bullet"/>
      <w:lvlText w:val=":"/>
      <w:lvlJc w:val="left"/>
      <w:pPr>
        <w:tabs>
          <w:tab w:val="num" w:pos="1700"/>
        </w:tabs>
        <w:ind w:left="1700" w:hanging="566"/>
      </w:pPr>
      <w:rPr>
        <w:b w:val="0"/>
        <w:i w:val="0"/>
      </w:rPr>
    </w:lvl>
    <w:lvl w:ilvl="3">
      <w:start w:val="1"/>
      <w:numFmt w:val="decimal"/>
      <w:lvlText w:val="(%4)"/>
      <w:lvlJc w:val="left"/>
      <w:pPr>
        <w:tabs>
          <w:tab w:val="num" w:pos="1440"/>
        </w:tabs>
        <w:ind w:left="1440" w:hanging="360"/>
      </w:pPr>
      <w:rPr>
        <w:rFonts w:cs="Times New Roman"/>
        <w:b w:val="0"/>
        <w:i w:val="0"/>
      </w:rPr>
    </w:lvl>
    <w:lvl w:ilvl="4">
      <w:start w:val="1"/>
      <w:numFmt w:val="lowerLetter"/>
      <w:lvlText w:val="(%5)"/>
      <w:lvlJc w:val="left"/>
      <w:pPr>
        <w:tabs>
          <w:tab w:val="num" w:pos="1800"/>
        </w:tabs>
        <w:ind w:left="1800" w:hanging="360"/>
      </w:pPr>
      <w:rPr>
        <w:rFonts w:cs="Times New Roman"/>
        <w:b w:val="0"/>
        <w:i w:val="0"/>
      </w:rPr>
    </w:lvl>
    <w:lvl w:ilvl="5">
      <w:start w:val="1"/>
      <w:numFmt w:val="lowerRoman"/>
      <w:lvlText w:val="(%6)"/>
      <w:lvlJc w:val="left"/>
      <w:pPr>
        <w:tabs>
          <w:tab w:val="num" w:pos="2160"/>
        </w:tabs>
        <w:ind w:left="2160" w:hanging="360"/>
      </w:pPr>
      <w:rPr>
        <w:rFonts w:cs="Times New Roman"/>
        <w:b w:val="0"/>
        <w:i w:val="0"/>
      </w:rPr>
    </w:lvl>
    <w:lvl w:ilvl="6">
      <w:start w:val="1"/>
      <w:numFmt w:val="decimal"/>
      <w:lvlText w:val="%7."/>
      <w:lvlJc w:val="left"/>
      <w:pPr>
        <w:tabs>
          <w:tab w:val="num" w:pos="2520"/>
        </w:tabs>
        <w:ind w:left="2520" w:hanging="360"/>
      </w:pPr>
      <w:rPr>
        <w:rFonts w:cs="Times New Roman"/>
        <w:b w:val="0"/>
        <w:i w:val="0"/>
      </w:rPr>
    </w:lvl>
    <w:lvl w:ilvl="7">
      <w:start w:val="1"/>
      <w:numFmt w:val="lowerLetter"/>
      <w:lvlText w:val="%8."/>
      <w:lvlJc w:val="left"/>
      <w:pPr>
        <w:tabs>
          <w:tab w:val="num" w:pos="2880"/>
        </w:tabs>
        <w:ind w:left="2880" w:hanging="360"/>
      </w:pPr>
      <w:rPr>
        <w:rFonts w:cs="Times New Roman"/>
        <w:b w:val="0"/>
        <w:i w:val="0"/>
      </w:rPr>
    </w:lvl>
    <w:lvl w:ilvl="8">
      <w:start w:val="1"/>
      <w:numFmt w:val="lowerRoman"/>
      <w:lvlText w:val="%9."/>
      <w:lvlJc w:val="left"/>
      <w:pPr>
        <w:tabs>
          <w:tab w:val="num" w:pos="3240"/>
        </w:tabs>
        <w:ind w:left="3240" w:hanging="360"/>
      </w:pPr>
      <w:rPr>
        <w:rFonts w:cs="Times New Roman"/>
        <w:b w:val="0"/>
        <w:i w:val="0"/>
      </w:rPr>
    </w:lvl>
  </w:abstractNum>
  <w:abstractNum w:abstractNumId="11" w15:restartNumberingAfterBreak="0">
    <w:nsid w:val="6A4242A5"/>
    <w:multiLevelType w:val="hybridMultilevel"/>
    <w:tmpl w:val="17822870"/>
    <w:lvl w:ilvl="0" w:tplc="977011F4">
      <w:start w:val="1"/>
      <w:numFmt w:val="bullet"/>
      <w:pStyle w:val="Bulletparagraphs"/>
      <w:lvlText w:val=""/>
      <w:lvlJc w:val="left"/>
      <w:pPr>
        <w:tabs>
          <w:tab w:val="num" w:pos="850"/>
        </w:tabs>
        <w:ind w:left="850" w:hanging="85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71014C"/>
    <w:multiLevelType w:val="hybridMultilevel"/>
    <w:tmpl w:val="EA66F2C4"/>
    <w:lvl w:ilvl="0" w:tplc="80081548">
      <w:start w:val="1"/>
      <w:numFmt w:val="bullet"/>
      <w:lvlText w:val=""/>
      <w:lvlJc w:val="left"/>
      <w:pPr>
        <w:ind w:left="720" w:hanging="360"/>
      </w:pPr>
      <w:rPr>
        <w:rFonts w:ascii="Symbol" w:hAnsi="Symbol" w:hint="default"/>
        <w:color w:val="A6A6A6"/>
      </w:rPr>
    </w:lvl>
    <w:lvl w:ilvl="1" w:tplc="39386808">
      <w:start w:val="1"/>
      <w:numFmt w:val="bullet"/>
      <w:lvlText w:val=""/>
      <w:lvlJc w:val="left"/>
      <w:pPr>
        <w:ind w:left="1440" w:hanging="360"/>
      </w:pPr>
      <w:rPr>
        <w:rFonts w:ascii="Symbol" w:hAnsi="Symbol" w:hint="default"/>
        <w:color w:val="A6A6A6" w:themeColor="background1" w:themeShade="A6"/>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4BB7D0A"/>
    <w:multiLevelType w:val="multilevel"/>
    <w:tmpl w:val="44C0FCC0"/>
    <w:lvl w:ilvl="0">
      <w:start w:val="1"/>
      <w:numFmt w:val="upperLetter"/>
      <w:pStyle w:val="ChecklistNumbering"/>
      <w:lvlText w:val="%1."/>
      <w:lvlJc w:val="left"/>
      <w:pPr>
        <w:ind w:left="360" w:hanging="360"/>
      </w:pPr>
      <w:rPr>
        <w:rFonts w:ascii="Calibri" w:hAnsi="Calibri" w:hint="default"/>
        <w:b/>
        <w:bCs w:val="0"/>
        <w:i w:val="0"/>
        <w:iCs w:val="0"/>
        <w:caps w:val="0"/>
        <w:smallCaps w:val="0"/>
        <w:strike w:val="0"/>
        <w:dstrike w:val="0"/>
        <w:noProof w:val="0"/>
        <w:snapToGrid w:val="0"/>
        <w:vanish w:val="0"/>
        <w:color w:val="000000"/>
        <w:spacing w:val="0"/>
        <w:w w:val="0"/>
        <w:kern w:val="0"/>
        <w:position w:val="0"/>
        <w:sz w:val="18"/>
        <w:szCs w:val="0"/>
        <w:u w:val="none"/>
        <w:vertAlign w:val="baseline"/>
        <w:em w:val="none"/>
      </w:rPr>
    </w:lvl>
    <w:lvl w:ilvl="1">
      <w:start w:val="1"/>
      <w:numFmt w:val="decimal"/>
      <w:lvlText w:val="%2."/>
      <w:lvlJc w:val="left"/>
      <w:pPr>
        <w:ind w:left="142" w:hanging="142"/>
      </w:pPr>
      <w:rPr>
        <w:rFonts w:ascii="Calibri" w:hAnsi="Calibri" w:hint="default"/>
        <w:b w:val="0"/>
        <w:color w:val="auto"/>
        <w:sz w:val="18"/>
      </w:rPr>
    </w:lvl>
    <w:lvl w:ilvl="2">
      <w:start w:val="1"/>
      <w:numFmt w:val="decimal"/>
      <w:lvlText w:val="%2.%3."/>
      <w:lvlJc w:val="left"/>
      <w:pPr>
        <w:ind w:left="142" w:hanging="142"/>
      </w:pPr>
      <w:rPr>
        <w:rFonts w:ascii="Calibri" w:hAnsi="Calibri" w:hint="default"/>
        <w:color w:val="auto"/>
        <w:sz w:val="18"/>
      </w:rPr>
    </w:lvl>
    <w:lvl w:ilvl="3">
      <w:start w:val="1"/>
      <w:numFmt w:val="decimal"/>
      <w:lvlText w:val="%2.%3.%4."/>
      <w:lvlJc w:val="left"/>
      <w:pPr>
        <w:ind w:left="142" w:hanging="142"/>
      </w:pPr>
      <w:rPr>
        <w:rFonts w:ascii="Calibri" w:hAnsi="Calibri" w:hint="default"/>
        <w:color w:val="auto"/>
        <w:sz w:val="18"/>
      </w:rPr>
    </w:lvl>
    <w:lvl w:ilvl="4">
      <w:start w:val="1"/>
      <w:numFmt w:val="decimal"/>
      <w:lvlText w:val="%2.%3.%4.%5."/>
      <w:lvlJc w:val="left"/>
      <w:pPr>
        <w:ind w:left="142" w:hanging="142"/>
      </w:pPr>
      <w:rPr>
        <w:rFonts w:ascii="Calibri" w:hAnsi="Calibri" w:hint="default"/>
        <w:color w:val="auto"/>
        <w:sz w:val="18"/>
      </w:rPr>
    </w:lvl>
    <w:lvl w:ilvl="5">
      <w:start w:val="1"/>
      <w:numFmt w:val="decimal"/>
      <w:lvlText w:val="%2.%3.%4.%5.%6."/>
      <w:lvlJc w:val="left"/>
      <w:pPr>
        <w:ind w:left="142" w:hanging="142"/>
      </w:pPr>
      <w:rPr>
        <w:rFonts w:ascii="Calibri" w:hAnsi="Calibri" w:hint="default"/>
        <w:color w:val="auto"/>
        <w:sz w:val="18"/>
      </w:rPr>
    </w:lvl>
    <w:lvl w:ilvl="6">
      <w:start w:val="1"/>
      <w:numFmt w:val="decimal"/>
      <w:lvlText w:val="%2.%3.%4.%5.%6.%7."/>
      <w:lvlJc w:val="left"/>
      <w:pPr>
        <w:ind w:left="142" w:hanging="142"/>
      </w:pPr>
      <w:rPr>
        <w:rFonts w:ascii="Calibri" w:hAnsi="Calibri" w:hint="default"/>
        <w:color w:val="auto"/>
        <w:sz w:val="18"/>
      </w:rPr>
    </w:lvl>
    <w:lvl w:ilvl="7">
      <w:start w:val="1"/>
      <w:numFmt w:val="decimal"/>
      <w:lvlText w:val="%2.%3.%4.%5.%6.%7.%8."/>
      <w:lvlJc w:val="left"/>
      <w:pPr>
        <w:ind w:left="142" w:hanging="142"/>
      </w:pPr>
      <w:rPr>
        <w:rFonts w:ascii="Calibri" w:hAnsi="Calibri" w:hint="default"/>
        <w:b w:val="0"/>
        <w:i w:val="0"/>
        <w:color w:val="auto"/>
        <w:sz w:val="18"/>
      </w:rPr>
    </w:lvl>
    <w:lvl w:ilvl="8">
      <w:start w:val="1"/>
      <w:numFmt w:val="decimal"/>
      <w:lvlText w:val="%2.%3.%4.%5.%6.%7.%8.%9."/>
      <w:lvlJc w:val="left"/>
      <w:pPr>
        <w:ind w:left="142" w:hanging="142"/>
      </w:pPr>
      <w:rPr>
        <w:rFonts w:ascii="Calibri" w:hAnsi="Calibri" w:hint="default"/>
        <w:b/>
        <w:i w:val="0"/>
        <w:color w:val="auto"/>
        <w:sz w:val="18"/>
      </w:rPr>
    </w:lvl>
  </w:abstractNum>
  <w:num w:numId="1" w16cid:durableId="1352755619">
    <w:abstractNumId w:val="6"/>
  </w:num>
  <w:num w:numId="2" w16cid:durableId="270015068">
    <w:abstractNumId w:val="4"/>
  </w:num>
  <w:num w:numId="3" w16cid:durableId="1931085322">
    <w:abstractNumId w:val="10"/>
  </w:num>
  <w:num w:numId="4" w16cid:durableId="2041971231">
    <w:abstractNumId w:val="13"/>
  </w:num>
  <w:num w:numId="5" w16cid:durableId="1652294649">
    <w:abstractNumId w:val="5"/>
  </w:num>
  <w:num w:numId="6" w16cid:durableId="446235701">
    <w:abstractNumId w:val="2"/>
  </w:num>
  <w:num w:numId="7" w16cid:durableId="1221667534">
    <w:abstractNumId w:val="11"/>
  </w:num>
  <w:num w:numId="8" w16cid:durableId="968322636">
    <w:abstractNumId w:val="9"/>
  </w:num>
  <w:num w:numId="9" w16cid:durableId="673723286">
    <w:abstractNumId w:val="0"/>
  </w:num>
  <w:num w:numId="10" w16cid:durableId="1823499870">
    <w:abstractNumId w:val="7"/>
  </w:num>
  <w:num w:numId="11" w16cid:durableId="21173701">
    <w:abstractNumId w:val="12"/>
  </w:num>
  <w:num w:numId="12" w16cid:durableId="571812649">
    <w:abstractNumId w:val="8"/>
  </w:num>
  <w:num w:numId="13" w16cid:durableId="256839199">
    <w:abstractNumId w:val="3"/>
  </w:num>
  <w:num w:numId="14" w16cid:durableId="393704074">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mirrorMargin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42F"/>
    <w:rsid w:val="00000D78"/>
    <w:rsid w:val="000026FA"/>
    <w:rsid w:val="00002863"/>
    <w:rsid w:val="00003AB7"/>
    <w:rsid w:val="00004C99"/>
    <w:rsid w:val="000053CD"/>
    <w:rsid w:val="000063A4"/>
    <w:rsid w:val="0000692D"/>
    <w:rsid w:val="00007550"/>
    <w:rsid w:val="00007E30"/>
    <w:rsid w:val="000147A7"/>
    <w:rsid w:val="00014831"/>
    <w:rsid w:val="00015E5E"/>
    <w:rsid w:val="000161EA"/>
    <w:rsid w:val="0001659A"/>
    <w:rsid w:val="000174C8"/>
    <w:rsid w:val="0002090A"/>
    <w:rsid w:val="00021AAA"/>
    <w:rsid w:val="00023C18"/>
    <w:rsid w:val="0002402C"/>
    <w:rsid w:val="00024962"/>
    <w:rsid w:val="000266C4"/>
    <w:rsid w:val="000276BE"/>
    <w:rsid w:val="0003024D"/>
    <w:rsid w:val="00032E1B"/>
    <w:rsid w:val="00036023"/>
    <w:rsid w:val="000375E4"/>
    <w:rsid w:val="000376B3"/>
    <w:rsid w:val="00040EFE"/>
    <w:rsid w:val="00042973"/>
    <w:rsid w:val="00042B38"/>
    <w:rsid w:val="00042C5F"/>
    <w:rsid w:val="00042D40"/>
    <w:rsid w:val="00042E06"/>
    <w:rsid w:val="00044C46"/>
    <w:rsid w:val="00044E06"/>
    <w:rsid w:val="00046254"/>
    <w:rsid w:val="00046280"/>
    <w:rsid w:val="000462CF"/>
    <w:rsid w:val="000473C6"/>
    <w:rsid w:val="00050570"/>
    <w:rsid w:val="0005086D"/>
    <w:rsid w:val="00052671"/>
    <w:rsid w:val="00055315"/>
    <w:rsid w:val="000558F5"/>
    <w:rsid w:val="00056A20"/>
    <w:rsid w:val="00057AFD"/>
    <w:rsid w:val="0006126E"/>
    <w:rsid w:val="00061C03"/>
    <w:rsid w:val="00062EA1"/>
    <w:rsid w:val="00063855"/>
    <w:rsid w:val="000709E8"/>
    <w:rsid w:val="00070DA3"/>
    <w:rsid w:val="00071C5E"/>
    <w:rsid w:val="00074A89"/>
    <w:rsid w:val="000751F9"/>
    <w:rsid w:val="00076830"/>
    <w:rsid w:val="00076F0C"/>
    <w:rsid w:val="000773EC"/>
    <w:rsid w:val="00080356"/>
    <w:rsid w:val="00080B0F"/>
    <w:rsid w:val="00080CCE"/>
    <w:rsid w:val="000837AB"/>
    <w:rsid w:val="0008392E"/>
    <w:rsid w:val="000840EF"/>
    <w:rsid w:val="0008517D"/>
    <w:rsid w:val="00085EA3"/>
    <w:rsid w:val="000871C0"/>
    <w:rsid w:val="00087423"/>
    <w:rsid w:val="000903A5"/>
    <w:rsid w:val="0009100D"/>
    <w:rsid w:val="00091D23"/>
    <w:rsid w:val="00092688"/>
    <w:rsid w:val="00092FCD"/>
    <w:rsid w:val="00093ACC"/>
    <w:rsid w:val="00094ED0"/>
    <w:rsid w:val="00096F9D"/>
    <w:rsid w:val="000975BE"/>
    <w:rsid w:val="000A0290"/>
    <w:rsid w:val="000A0E5D"/>
    <w:rsid w:val="000A29DB"/>
    <w:rsid w:val="000A3482"/>
    <w:rsid w:val="000A384F"/>
    <w:rsid w:val="000A57FC"/>
    <w:rsid w:val="000A7001"/>
    <w:rsid w:val="000A7458"/>
    <w:rsid w:val="000A770D"/>
    <w:rsid w:val="000A786F"/>
    <w:rsid w:val="000A7B65"/>
    <w:rsid w:val="000B312F"/>
    <w:rsid w:val="000B3348"/>
    <w:rsid w:val="000B3C4A"/>
    <w:rsid w:val="000B5D2B"/>
    <w:rsid w:val="000B5F06"/>
    <w:rsid w:val="000B6FD0"/>
    <w:rsid w:val="000C3E05"/>
    <w:rsid w:val="000C4AFB"/>
    <w:rsid w:val="000C5428"/>
    <w:rsid w:val="000C5D29"/>
    <w:rsid w:val="000C6738"/>
    <w:rsid w:val="000C7CAD"/>
    <w:rsid w:val="000D0AE5"/>
    <w:rsid w:val="000D1113"/>
    <w:rsid w:val="000D238B"/>
    <w:rsid w:val="000D31D6"/>
    <w:rsid w:val="000D3F6B"/>
    <w:rsid w:val="000D40FB"/>
    <w:rsid w:val="000D5693"/>
    <w:rsid w:val="000D5C4F"/>
    <w:rsid w:val="000D7A13"/>
    <w:rsid w:val="000E15A9"/>
    <w:rsid w:val="000E64A7"/>
    <w:rsid w:val="000E6662"/>
    <w:rsid w:val="000E6CDE"/>
    <w:rsid w:val="000E76B4"/>
    <w:rsid w:val="000E77EE"/>
    <w:rsid w:val="000F0688"/>
    <w:rsid w:val="000F12CA"/>
    <w:rsid w:val="000F1B68"/>
    <w:rsid w:val="000F2101"/>
    <w:rsid w:val="000F2DF8"/>
    <w:rsid w:val="000F345A"/>
    <w:rsid w:val="000F55F8"/>
    <w:rsid w:val="000F6323"/>
    <w:rsid w:val="00100875"/>
    <w:rsid w:val="001023B0"/>
    <w:rsid w:val="00102782"/>
    <w:rsid w:val="00102DF4"/>
    <w:rsid w:val="00103B5A"/>
    <w:rsid w:val="00104229"/>
    <w:rsid w:val="001049AA"/>
    <w:rsid w:val="00106658"/>
    <w:rsid w:val="0010673C"/>
    <w:rsid w:val="00107DAF"/>
    <w:rsid w:val="0011003A"/>
    <w:rsid w:val="0011082B"/>
    <w:rsid w:val="0011128A"/>
    <w:rsid w:val="001116B7"/>
    <w:rsid w:val="00111AB0"/>
    <w:rsid w:val="00111B52"/>
    <w:rsid w:val="00111D5F"/>
    <w:rsid w:val="001131D0"/>
    <w:rsid w:val="00113500"/>
    <w:rsid w:val="00113DE7"/>
    <w:rsid w:val="0011614D"/>
    <w:rsid w:val="0011655D"/>
    <w:rsid w:val="001173E7"/>
    <w:rsid w:val="00117D92"/>
    <w:rsid w:val="001203E5"/>
    <w:rsid w:val="0012098B"/>
    <w:rsid w:val="00123227"/>
    <w:rsid w:val="001260FB"/>
    <w:rsid w:val="00126976"/>
    <w:rsid w:val="00127EE8"/>
    <w:rsid w:val="00130D05"/>
    <w:rsid w:val="001358AE"/>
    <w:rsid w:val="00137F99"/>
    <w:rsid w:val="00140DFC"/>
    <w:rsid w:val="001410BA"/>
    <w:rsid w:val="00143379"/>
    <w:rsid w:val="00144140"/>
    <w:rsid w:val="001441A3"/>
    <w:rsid w:val="001442C8"/>
    <w:rsid w:val="001446FD"/>
    <w:rsid w:val="001449E9"/>
    <w:rsid w:val="00145BFC"/>
    <w:rsid w:val="00145C53"/>
    <w:rsid w:val="00147978"/>
    <w:rsid w:val="00150022"/>
    <w:rsid w:val="0015037C"/>
    <w:rsid w:val="00150B94"/>
    <w:rsid w:val="00151B73"/>
    <w:rsid w:val="00152217"/>
    <w:rsid w:val="00153A46"/>
    <w:rsid w:val="0015431B"/>
    <w:rsid w:val="0015555E"/>
    <w:rsid w:val="001559A2"/>
    <w:rsid w:val="001559E4"/>
    <w:rsid w:val="00155E1B"/>
    <w:rsid w:val="00156282"/>
    <w:rsid w:val="00157F8F"/>
    <w:rsid w:val="001603D8"/>
    <w:rsid w:val="0016087B"/>
    <w:rsid w:val="001616BC"/>
    <w:rsid w:val="00162DEE"/>
    <w:rsid w:val="00162E18"/>
    <w:rsid w:val="001645DF"/>
    <w:rsid w:val="00164EEE"/>
    <w:rsid w:val="00166E98"/>
    <w:rsid w:val="00167E88"/>
    <w:rsid w:val="00167FDF"/>
    <w:rsid w:val="00170174"/>
    <w:rsid w:val="00173308"/>
    <w:rsid w:val="00173345"/>
    <w:rsid w:val="00173C3F"/>
    <w:rsid w:val="00175982"/>
    <w:rsid w:val="00177378"/>
    <w:rsid w:val="00183B52"/>
    <w:rsid w:val="00184204"/>
    <w:rsid w:val="00185A4E"/>
    <w:rsid w:val="00186716"/>
    <w:rsid w:val="001903B4"/>
    <w:rsid w:val="00193995"/>
    <w:rsid w:val="001950CA"/>
    <w:rsid w:val="001966EB"/>
    <w:rsid w:val="0019724C"/>
    <w:rsid w:val="001A0B01"/>
    <w:rsid w:val="001A18D2"/>
    <w:rsid w:val="001A1C4D"/>
    <w:rsid w:val="001A35D5"/>
    <w:rsid w:val="001A4975"/>
    <w:rsid w:val="001A5FE0"/>
    <w:rsid w:val="001A60A2"/>
    <w:rsid w:val="001A70E7"/>
    <w:rsid w:val="001A7DC0"/>
    <w:rsid w:val="001B044E"/>
    <w:rsid w:val="001B14AC"/>
    <w:rsid w:val="001B1918"/>
    <w:rsid w:val="001B237A"/>
    <w:rsid w:val="001B337C"/>
    <w:rsid w:val="001B5237"/>
    <w:rsid w:val="001B67D6"/>
    <w:rsid w:val="001B6E1C"/>
    <w:rsid w:val="001C1BF1"/>
    <w:rsid w:val="001C2357"/>
    <w:rsid w:val="001C2465"/>
    <w:rsid w:val="001C2576"/>
    <w:rsid w:val="001C27AC"/>
    <w:rsid w:val="001C2CFF"/>
    <w:rsid w:val="001C3D97"/>
    <w:rsid w:val="001C484D"/>
    <w:rsid w:val="001C5818"/>
    <w:rsid w:val="001C5D48"/>
    <w:rsid w:val="001C6378"/>
    <w:rsid w:val="001D08A5"/>
    <w:rsid w:val="001D1024"/>
    <w:rsid w:val="001D1A29"/>
    <w:rsid w:val="001D3ED4"/>
    <w:rsid w:val="001D4540"/>
    <w:rsid w:val="001D4A9C"/>
    <w:rsid w:val="001D6751"/>
    <w:rsid w:val="001D72D8"/>
    <w:rsid w:val="001D7B9F"/>
    <w:rsid w:val="001E180C"/>
    <w:rsid w:val="001E1F50"/>
    <w:rsid w:val="001E256D"/>
    <w:rsid w:val="001E3360"/>
    <w:rsid w:val="001E40AB"/>
    <w:rsid w:val="001E5D27"/>
    <w:rsid w:val="001E7694"/>
    <w:rsid w:val="001F0C78"/>
    <w:rsid w:val="001F1DD2"/>
    <w:rsid w:val="001F4A27"/>
    <w:rsid w:val="001F4D72"/>
    <w:rsid w:val="001F58B0"/>
    <w:rsid w:val="001F7294"/>
    <w:rsid w:val="001F7310"/>
    <w:rsid w:val="001F7F3F"/>
    <w:rsid w:val="0020010D"/>
    <w:rsid w:val="002001C6"/>
    <w:rsid w:val="002018FD"/>
    <w:rsid w:val="002020DF"/>
    <w:rsid w:val="00202F12"/>
    <w:rsid w:val="00204DB8"/>
    <w:rsid w:val="002059ED"/>
    <w:rsid w:val="00205D50"/>
    <w:rsid w:val="00205F8C"/>
    <w:rsid w:val="00206021"/>
    <w:rsid w:val="0020608F"/>
    <w:rsid w:val="0020658D"/>
    <w:rsid w:val="00207A75"/>
    <w:rsid w:val="00210219"/>
    <w:rsid w:val="00211E30"/>
    <w:rsid w:val="00214EA7"/>
    <w:rsid w:val="002157AA"/>
    <w:rsid w:val="002164C0"/>
    <w:rsid w:val="00216778"/>
    <w:rsid w:val="00217015"/>
    <w:rsid w:val="0022003D"/>
    <w:rsid w:val="002219C5"/>
    <w:rsid w:val="00221FCF"/>
    <w:rsid w:val="00222839"/>
    <w:rsid w:val="00222AD0"/>
    <w:rsid w:val="0022376F"/>
    <w:rsid w:val="0022489F"/>
    <w:rsid w:val="0022510B"/>
    <w:rsid w:val="00226149"/>
    <w:rsid w:val="002263C4"/>
    <w:rsid w:val="002277E1"/>
    <w:rsid w:val="00227950"/>
    <w:rsid w:val="00230022"/>
    <w:rsid w:val="00230AE6"/>
    <w:rsid w:val="0023217B"/>
    <w:rsid w:val="002328B5"/>
    <w:rsid w:val="0023345F"/>
    <w:rsid w:val="002336B2"/>
    <w:rsid w:val="00233C9B"/>
    <w:rsid w:val="00234A44"/>
    <w:rsid w:val="0023640D"/>
    <w:rsid w:val="00236B9C"/>
    <w:rsid w:val="00236DDA"/>
    <w:rsid w:val="002414F9"/>
    <w:rsid w:val="00241504"/>
    <w:rsid w:val="002415C6"/>
    <w:rsid w:val="002418FE"/>
    <w:rsid w:val="002427D3"/>
    <w:rsid w:val="00243642"/>
    <w:rsid w:val="002438D5"/>
    <w:rsid w:val="00243B6D"/>
    <w:rsid w:val="0024446A"/>
    <w:rsid w:val="00245E97"/>
    <w:rsid w:val="00246092"/>
    <w:rsid w:val="002460B2"/>
    <w:rsid w:val="0024705B"/>
    <w:rsid w:val="002470C4"/>
    <w:rsid w:val="00247A5B"/>
    <w:rsid w:val="00250500"/>
    <w:rsid w:val="00251B1A"/>
    <w:rsid w:val="00253628"/>
    <w:rsid w:val="00253F13"/>
    <w:rsid w:val="00254025"/>
    <w:rsid w:val="002554BA"/>
    <w:rsid w:val="00257DBE"/>
    <w:rsid w:val="0026002E"/>
    <w:rsid w:val="0026102E"/>
    <w:rsid w:val="00261C7C"/>
    <w:rsid w:val="0026286C"/>
    <w:rsid w:val="00262E46"/>
    <w:rsid w:val="00264C48"/>
    <w:rsid w:val="00265662"/>
    <w:rsid w:val="00270632"/>
    <w:rsid w:val="00271AD0"/>
    <w:rsid w:val="00272BA4"/>
    <w:rsid w:val="00273BB5"/>
    <w:rsid w:val="00274C37"/>
    <w:rsid w:val="00276C6B"/>
    <w:rsid w:val="00280969"/>
    <w:rsid w:val="00280D10"/>
    <w:rsid w:val="00281FBA"/>
    <w:rsid w:val="00282342"/>
    <w:rsid w:val="00282446"/>
    <w:rsid w:val="00283511"/>
    <w:rsid w:val="00284C91"/>
    <w:rsid w:val="002853A9"/>
    <w:rsid w:val="0028717A"/>
    <w:rsid w:val="00287442"/>
    <w:rsid w:val="0029095A"/>
    <w:rsid w:val="002915CB"/>
    <w:rsid w:val="00294D74"/>
    <w:rsid w:val="002A022C"/>
    <w:rsid w:val="002A0659"/>
    <w:rsid w:val="002A138C"/>
    <w:rsid w:val="002A3774"/>
    <w:rsid w:val="002A53B3"/>
    <w:rsid w:val="002A72EB"/>
    <w:rsid w:val="002B05FB"/>
    <w:rsid w:val="002B0C88"/>
    <w:rsid w:val="002B0FF6"/>
    <w:rsid w:val="002B2685"/>
    <w:rsid w:val="002B2C64"/>
    <w:rsid w:val="002B3141"/>
    <w:rsid w:val="002B4156"/>
    <w:rsid w:val="002B4262"/>
    <w:rsid w:val="002B443E"/>
    <w:rsid w:val="002B469D"/>
    <w:rsid w:val="002B481D"/>
    <w:rsid w:val="002B5E26"/>
    <w:rsid w:val="002B61C8"/>
    <w:rsid w:val="002B7B15"/>
    <w:rsid w:val="002C1051"/>
    <w:rsid w:val="002C1664"/>
    <w:rsid w:val="002C1A24"/>
    <w:rsid w:val="002C20D2"/>
    <w:rsid w:val="002C2293"/>
    <w:rsid w:val="002C483F"/>
    <w:rsid w:val="002C5A7C"/>
    <w:rsid w:val="002C5DD5"/>
    <w:rsid w:val="002C61DB"/>
    <w:rsid w:val="002C6ED4"/>
    <w:rsid w:val="002D0ECD"/>
    <w:rsid w:val="002D1333"/>
    <w:rsid w:val="002D2D2F"/>
    <w:rsid w:val="002D4B40"/>
    <w:rsid w:val="002D4CE6"/>
    <w:rsid w:val="002D5169"/>
    <w:rsid w:val="002D5BF3"/>
    <w:rsid w:val="002D6B94"/>
    <w:rsid w:val="002E01A5"/>
    <w:rsid w:val="002E111B"/>
    <w:rsid w:val="002E2C0F"/>
    <w:rsid w:val="002E3CA6"/>
    <w:rsid w:val="002E4358"/>
    <w:rsid w:val="002E59D4"/>
    <w:rsid w:val="002E5DDF"/>
    <w:rsid w:val="002E6317"/>
    <w:rsid w:val="002E6C59"/>
    <w:rsid w:val="002E78B7"/>
    <w:rsid w:val="002F03A6"/>
    <w:rsid w:val="002F0945"/>
    <w:rsid w:val="002F200F"/>
    <w:rsid w:val="002F2A5B"/>
    <w:rsid w:val="002F3B39"/>
    <w:rsid w:val="002F51D3"/>
    <w:rsid w:val="002F5435"/>
    <w:rsid w:val="002F74E5"/>
    <w:rsid w:val="002F78DC"/>
    <w:rsid w:val="00300C4C"/>
    <w:rsid w:val="003010BB"/>
    <w:rsid w:val="0030116D"/>
    <w:rsid w:val="00301814"/>
    <w:rsid w:val="00307AB7"/>
    <w:rsid w:val="00307EBC"/>
    <w:rsid w:val="00311A14"/>
    <w:rsid w:val="00312B66"/>
    <w:rsid w:val="00312B9A"/>
    <w:rsid w:val="00313BBD"/>
    <w:rsid w:val="00313C8E"/>
    <w:rsid w:val="00315DF8"/>
    <w:rsid w:val="0031684E"/>
    <w:rsid w:val="00317229"/>
    <w:rsid w:val="00320FE7"/>
    <w:rsid w:val="003226CA"/>
    <w:rsid w:val="00323FDF"/>
    <w:rsid w:val="00325837"/>
    <w:rsid w:val="00327AB8"/>
    <w:rsid w:val="003301F6"/>
    <w:rsid w:val="003304EA"/>
    <w:rsid w:val="00331320"/>
    <w:rsid w:val="00331425"/>
    <w:rsid w:val="00331525"/>
    <w:rsid w:val="00332881"/>
    <w:rsid w:val="0033473A"/>
    <w:rsid w:val="00335A37"/>
    <w:rsid w:val="0033791B"/>
    <w:rsid w:val="00340289"/>
    <w:rsid w:val="003418FA"/>
    <w:rsid w:val="00343FEB"/>
    <w:rsid w:val="00344474"/>
    <w:rsid w:val="00344D74"/>
    <w:rsid w:val="00345A89"/>
    <w:rsid w:val="00346381"/>
    <w:rsid w:val="00347E21"/>
    <w:rsid w:val="00351C74"/>
    <w:rsid w:val="00351E54"/>
    <w:rsid w:val="00353129"/>
    <w:rsid w:val="00353266"/>
    <w:rsid w:val="00353841"/>
    <w:rsid w:val="0035467A"/>
    <w:rsid w:val="003553DB"/>
    <w:rsid w:val="00355936"/>
    <w:rsid w:val="00360594"/>
    <w:rsid w:val="003614E9"/>
    <w:rsid w:val="00362279"/>
    <w:rsid w:val="00362A79"/>
    <w:rsid w:val="003648D9"/>
    <w:rsid w:val="00364F2C"/>
    <w:rsid w:val="00365A81"/>
    <w:rsid w:val="00366080"/>
    <w:rsid w:val="0036682A"/>
    <w:rsid w:val="003671AA"/>
    <w:rsid w:val="00370BC0"/>
    <w:rsid w:val="003713E1"/>
    <w:rsid w:val="00371D99"/>
    <w:rsid w:val="003721A9"/>
    <w:rsid w:val="003722DB"/>
    <w:rsid w:val="00373D73"/>
    <w:rsid w:val="00375AC0"/>
    <w:rsid w:val="00376136"/>
    <w:rsid w:val="003764D4"/>
    <w:rsid w:val="00376996"/>
    <w:rsid w:val="003769A7"/>
    <w:rsid w:val="00376A85"/>
    <w:rsid w:val="00377CA1"/>
    <w:rsid w:val="003807D7"/>
    <w:rsid w:val="0038126C"/>
    <w:rsid w:val="0038286E"/>
    <w:rsid w:val="0038498A"/>
    <w:rsid w:val="00385F4F"/>
    <w:rsid w:val="00386D28"/>
    <w:rsid w:val="003915F2"/>
    <w:rsid w:val="00392140"/>
    <w:rsid w:val="00392165"/>
    <w:rsid w:val="003938F7"/>
    <w:rsid w:val="00393974"/>
    <w:rsid w:val="003939D2"/>
    <w:rsid w:val="00396019"/>
    <w:rsid w:val="00396A5E"/>
    <w:rsid w:val="00396ECB"/>
    <w:rsid w:val="003A063C"/>
    <w:rsid w:val="003A07A9"/>
    <w:rsid w:val="003A0A57"/>
    <w:rsid w:val="003A170C"/>
    <w:rsid w:val="003A3D97"/>
    <w:rsid w:val="003A3EFF"/>
    <w:rsid w:val="003A551C"/>
    <w:rsid w:val="003A57FB"/>
    <w:rsid w:val="003A5D2D"/>
    <w:rsid w:val="003A7634"/>
    <w:rsid w:val="003A7A97"/>
    <w:rsid w:val="003B0208"/>
    <w:rsid w:val="003B060D"/>
    <w:rsid w:val="003B0E51"/>
    <w:rsid w:val="003B1B9E"/>
    <w:rsid w:val="003B3A15"/>
    <w:rsid w:val="003B4A8C"/>
    <w:rsid w:val="003B6349"/>
    <w:rsid w:val="003B68C2"/>
    <w:rsid w:val="003C0D0A"/>
    <w:rsid w:val="003C285F"/>
    <w:rsid w:val="003C3C39"/>
    <w:rsid w:val="003C4951"/>
    <w:rsid w:val="003C5442"/>
    <w:rsid w:val="003C54F9"/>
    <w:rsid w:val="003C7639"/>
    <w:rsid w:val="003C7DBB"/>
    <w:rsid w:val="003D09B2"/>
    <w:rsid w:val="003D0BF4"/>
    <w:rsid w:val="003D187F"/>
    <w:rsid w:val="003D2CBC"/>
    <w:rsid w:val="003D47E8"/>
    <w:rsid w:val="003E4F2C"/>
    <w:rsid w:val="003E4F7B"/>
    <w:rsid w:val="003E4FDB"/>
    <w:rsid w:val="003E58C0"/>
    <w:rsid w:val="003E60A2"/>
    <w:rsid w:val="003E63E1"/>
    <w:rsid w:val="003E6B96"/>
    <w:rsid w:val="003E7DBD"/>
    <w:rsid w:val="003F06F6"/>
    <w:rsid w:val="003F26D8"/>
    <w:rsid w:val="003F2A83"/>
    <w:rsid w:val="003F54CA"/>
    <w:rsid w:val="003F78B2"/>
    <w:rsid w:val="00400568"/>
    <w:rsid w:val="004007FC"/>
    <w:rsid w:val="00400A9A"/>
    <w:rsid w:val="00400D7C"/>
    <w:rsid w:val="004026BF"/>
    <w:rsid w:val="00402B29"/>
    <w:rsid w:val="00402C9E"/>
    <w:rsid w:val="004048E3"/>
    <w:rsid w:val="00404DF9"/>
    <w:rsid w:val="00405613"/>
    <w:rsid w:val="00405A80"/>
    <w:rsid w:val="0040738B"/>
    <w:rsid w:val="004079D6"/>
    <w:rsid w:val="00407DD4"/>
    <w:rsid w:val="00407FE8"/>
    <w:rsid w:val="00410AF1"/>
    <w:rsid w:val="00412CEB"/>
    <w:rsid w:val="00414014"/>
    <w:rsid w:val="004141FD"/>
    <w:rsid w:val="004142E4"/>
    <w:rsid w:val="00414DC7"/>
    <w:rsid w:val="0041549F"/>
    <w:rsid w:val="00415686"/>
    <w:rsid w:val="00415B61"/>
    <w:rsid w:val="00415B90"/>
    <w:rsid w:val="00415EA0"/>
    <w:rsid w:val="00416B80"/>
    <w:rsid w:val="004177FD"/>
    <w:rsid w:val="00417DAB"/>
    <w:rsid w:val="00417F32"/>
    <w:rsid w:val="0042218C"/>
    <w:rsid w:val="00423C3F"/>
    <w:rsid w:val="00426581"/>
    <w:rsid w:val="00426BBC"/>
    <w:rsid w:val="00426CB5"/>
    <w:rsid w:val="00427152"/>
    <w:rsid w:val="00430398"/>
    <w:rsid w:val="00430877"/>
    <w:rsid w:val="004322CE"/>
    <w:rsid w:val="00433212"/>
    <w:rsid w:val="004339D9"/>
    <w:rsid w:val="004343D6"/>
    <w:rsid w:val="0043525E"/>
    <w:rsid w:val="00435365"/>
    <w:rsid w:val="00437B2F"/>
    <w:rsid w:val="004402B6"/>
    <w:rsid w:val="0044797D"/>
    <w:rsid w:val="004505AF"/>
    <w:rsid w:val="00450D47"/>
    <w:rsid w:val="0045199E"/>
    <w:rsid w:val="00451A39"/>
    <w:rsid w:val="004540B1"/>
    <w:rsid w:val="004546B6"/>
    <w:rsid w:val="004546BC"/>
    <w:rsid w:val="00455A37"/>
    <w:rsid w:val="00456709"/>
    <w:rsid w:val="00456E0F"/>
    <w:rsid w:val="004626A5"/>
    <w:rsid w:val="004627B2"/>
    <w:rsid w:val="0046299D"/>
    <w:rsid w:val="0046346E"/>
    <w:rsid w:val="004635AB"/>
    <w:rsid w:val="0046417F"/>
    <w:rsid w:val="00465E0E"/>
    <w:rsid w:val="00470B9A"/>
    <w:rsid w:val="004715C3"/>
    <w:rsid w:val="00471ADF"/>
    <w:rsid w:val="00472973"/>
    <w:rsid w:val="004742A5"/>
    <w:rsid w:val="00474430"/>
    <w:rsid w:val="00474627"/>
    <w:rsid w:val="0047544B"/>
    <w:rsid w:val="00475825"/>
    <w:rsid w:val="0048000F"/>
    <w:rsid w:val="004804C8"/>
    <w:rsid w:val="0048136F"/>
    <w:rsid w:val="004815A5"/>
    <w:rsid w:val="004852D1"/>
    <w:rsid w:val="00485E41"/>
    <w:rsid w:val="00486241"/>
    <w:rsid w:val="00487F9B"/>
    <w:rsid w:val="004902C6"/>
    <w:rsid w:val="00491C92"/>
    <w:rsid w:val="00492610"/>
    <w:rsid w:val="00494300"/>
    <w:rsid w:val="00494F0D"/>
    <w:rsid w:val="004A1952"/>
    <w:rsid w:val="004A22A6"/>
    <w:rsid w:val="004A26CF"/>
    <w:rsid w:val="004A3388"/>
    <w:rsid w:val="004A45BF"/>
    <w:rsid w:val="004A4AB8"/>
    <w:rsid w:val="004A5BF7"/>
    <w:rsid w:val="004A63C8"/>
    <w:rsid w:val="004A646E"/>
    <w:rsid w:val="004A6E6A"/>
    <w:rsid w:val="004A721E"/>
    <w:rsid w:val="004B03D3"/>
    <w:rsid w:val="004B3217"/>
    <w:rsid w:val="004B3BFD"/>
    <w:rsid w:val="004B4075"/>
    <w:rsid w:val="004B5E18"/>
    <w:rsid w:val="004B6A97"/>
    <w:rsid w:val="004C0009"/>
    <w:rsid w:val="004C0F86"/>
    <w:rsid w:val="004C1939"/>
    <w:rsid w:val="004C1F17"/>
    <w:rsid w:val="004C29E1"/>
    <w:rsid w:val="004C2AB4"/>
    <w:rsid w:val="004C4B97"/>
    <w:rsid w:val="004C5231"/>
    <w:rsid w:val="004C77DC"/>
    <w:rsid w:val="004C7F77"/>
    <w:rsid w:val="004D05D2"/>
    <w:rsid w:val="004D0841"/>
    <w:rsid w:val="004D22EB"/>
    <w:rsid w:val="004D2D35"/>
    <w:rsid w:val="004D3727"/>
    <w:rsid w:val="004D429A"/>
    <w:rsid w:val="004D496A"/>
    <w:rsid w:val="004D6CD2"/>
    <w:rsid w:val="004D70CC"/>
    <w:rsid w:val="004D7ED5"/>
    <w:rsid w:val="004E0030"/>
    <w:rsid w:val="004E0A15"/>
    <w:rsid w:val="004E0C0C"/>
    <w:rsid w:val="004E21C8"/>
    <w:rsid w:val="004E225E"/>
    <w:rsid w:val="004E4180"/>
    <w:rsid w:val="004E485F"/>
    <w:rsid w:val="004E4A96"/>
    <w:rsid w:val="004E53E5"/>
    <w:rsid w:val="004E693C"/>
    <w:rsid w:val="004E7ECE"/>
    <w:rsid w:val="004F1EA2"/>
    <w:rsid w:val="004F24FF"/>
    <w:rsid w:val="004F4C96"/>
    <w:rsid w:val="004F5E28"/>
    <w:rsid w:val="004F658C"/>
    <w:rsid w:val="004F6D1A"/>
    <w:rsid w:val="004F6EED"/>
    <w:rsid w:val="005026EB"/>
    <w:rsid w:val="00502756"/>
    <w:rsid w:val="00502BE2"/>
    <w:rsid w:val="00503A81"/>
    <w:rsid w:val="005041F6"/>
    <w:rsid w:val="005064E5"/>
    <w:rsid w:val="005105CD"/>
    <w:rsid w:val="00510BBE"/>
    <w:rsid w:val="00510BEB"/>
    <w:rsid w:val="00511EE0"/>
    <w:rsid w:val="005122DC"/>
    <w:rsid w:val="005127E4"/>
    <w:rsid w:val="00513E54"/>
    <w:rsid w:val="00514871"/>
    <w:rsid w:val="0051497F"/>
    <w:rsid w:val="00516DC3"/>
    <w:rsid w:val="00517593"/>
    <w:rsid w:val="00520934"/>
    <w:rsid w:val="00520A23"/>
    <w:rsid w:val="00521D0E"/>
    <w:rsid w:val="0052217A"/>
    <w:rsid w:val="005222B1"/>
    <w:rsid w:val="00522A27"/>
    <w:rsid w:val="00523B7A"/>
    <w:rsid w:val="005244A0"/>
    <w:rsid w:val="00524AF4"/>
    <w:rsid w:val="0052541A"/>
    <w:rsid w:val="005273DB"/>
    <w:rsid w:val="005307E6"/>
    <w:rsid w:val="00532397"/>
    <w:rsid w:val="0053280A"/>
    <w:rsid w:val="00533AC1"/>
    <w:rsid w:val="00535D0A"/>
    <w:rsid w:val="00536BA2"/>
    <w:rsid w:val="0054137F"/>
    <w:rsid w:val="0054259F"/>
    <w:rsid w:val="0054488C"/>
    <w:rsid w:val="0054531E"/>
    <w:rsid w:val="00546719"/>
    <w:rsid w:val="00550CE2"/>
    <w:rsid w:val="005514E7"/>
    <w:rsid w:val="00553B39"/>
    <w:rsid w:val="00555221"/>
    <w:rsid w:val="005568B3"/>
    <w:rsid w:val="00557549"/>
    <w:rsid w:val="005619D0"/>
    <w:rsid w:val="00561E05"/>
    <w:rsid w:val="005643D5"/>
    <w:rsid w:val="00565778"/>
    <w:rsid w:val="00565FFD"/>
    <w:rsid w:val="00566AE8"/>
    <w:rsid w:val="00566B2D"/>
    <w:rsid w:val="005700CF"/>
    <w:rsid w:val="00570A96"/>
    <w:rsid w:val="00572FF2"/>
    <w:rsid w:val="00573DFF"/>
    <w:rsid w:val="00575A9C"/>
    <w:rsid w:val="00577292"/>
    <w:rsid w:val="00582FF0"/>
    <w:rsid w:val="00583CDE"/>
    <w:rsid w:val="0058476A"/>
    <w:rsid w:val="005852DE"/>
    <w:rsid w:val="005903A7"/>
    <w:rsid w:val="0059096D"/>
    <w:rsid w:val="005920C3"/>
    <w:rsid w:val="00593B99"/>
    <w:rsid w:val="00593DD8"/>
    <w:rsid w:val="00597FB2"/>
    <w:rsid w:val="005A0A9A"/>
    <w:rsid w:val="005A0B6B"/>
    <w:rsid w:val="005A1635"/>
    <w:rsid w:val="005A177F"/>
    <w:rsid w:val="005A1E4B"/>
    <w:rsid w:val="005A389D"/>
    <w:rsid w:val="005A48A3"/>
    <w:rsid w:val="005A5C07"/>
    <w:rsid w:val="005A6FD0"/>
    <w:rsid w:val="005A7D7A"/>
    <w:rsid w:val="005B0852"/>
    <w:rsid w:val="005B1AE5"/>
    <w:rsid w:val="005B1C50"/>
    <w:rsid w:val="005B20FA"/>
    <w:rsid w:val="005B2BF0"/>
    <w:rsid w:val="005B4B06"/>
    <w:rsid w:val="005B5D13"/>
    <w:rsid w:val="005B7D39"/>
    <w:rsid w:val="005C05F4"/>
    <w:rsid w:val="005C0F5D"/>
    <w:rsid w:val="005C1445"/>
    <w:rsid w:val="005C2466"/>
    <w:rsid w:val="005C2A50"/>
    <w:rsid w:val="005C2BD5"/>
    <w:rsid w:val="005C4C91"/>
    <w:rsid w:val="005C64F7"/>
    <w:rsid w:val="005C7086"/>
    <w:rsid w:val="005C7972"/>
    <w:rsid w:val="005D190E"/>
    <w:rsid w:val="005D1AC5"/>
    <w:rsid w:val="005D1C5B"/>
    <w:rsid w:val="005D5526"/>
    <w:rsid w:val="005D59F7"/>
    <w:rsid w:val="005D6906"/>
    <w:rsid w:val="005D7157"/>
    <w:rsid w:val="005E095C"/>
    <w:rsid w:val="005E09FE"/>
    <w:rsid w:val="005E10E5"/>
    <w:rsid w:val="005E2FA8"/>
    <w:rsid w:val="005E3D85"/>
    <w:rsid w:val="005E57CB"/>
    <w:rsid w:val="005E5B94"/>
    <w:rsid w:val="005E5EF9"/>
    <w:rsid w:val="005E64F1"/>
    <w:rsid w:val="005E7A56"/>
    <w:rsid w:val="005F0FBC"/>
    <w:rsid w:val="005F2425"/>
    <w:rsid w:val="005F3A2D"/>
    <w:rsid w:val="005F3D62"/>
    <w:rsid w:val="005F4190"/>
    <w:rsid w:val="005F5829"/>
    <w:rsid w:val="005F5854"/>
    <w:rsid w:val="005F5C0B"/>
    <w:rsid w:val="005F5E60"/>
    <w:rsid w:val="005F63E9"/>
    <w:rsid w:val="005F7C45"/>
    <w:rsid w:val="00600267"/>
    <w:rsid w:val="006012EE"/>
    <w:rsid w:val="00604460"/>
    <w:rsid w:val="00604832"/>
    <w:rsid w:val="0061006B"/>
    <w:rsid w:val="006113BC"/>
    <w:rsid w:val="006146EE"/>
    <w:rsid w:val="006153A8"/>
    <w:rsid w:val="00615463"/>
    <w:rsid w:val="00615EBF"/>
    <w:rsid w:val="00616BAB"/>
    <w:rsid w:val="00616F28"/>
    <w:rsid w:val="006176F2"/>
    <w:rsid w:val="006200E7"/>
    <w:rsid w:val="00620222"/>
    <w:rsid w:val="00620811"/>
    <w:rsid w:val="006229C9"/>
    <w:rsid w:val="00622CC6"/>
    <w:rsid w:val="006246BC"/>
    <w:rsid w:val="006250B1"/>
    <w:rsid w:val="006255E0"/>
    <w:rsid w:val="006263BF"/>
    <w:rsid w:val="006307AE"/>
    <w:rsid w:val="00632D80"/>
    <w:rsid w:val="00633E39"/>
    <w:rsid w:val="006363AF"/>
    <w:rsid w:val="00636B38"/>
    <w:rsid w:val="00636C19"/>
    <w:rsid w:val="00636CC4"/>
    <w:rsid w:val="0063745F"/>
    <w:rsid w:val="006379F9"/>
    <w:rsid w:val="0064027B"/>
    <w:rsid w:val="00640342"/>
    <w:rsid w:val="00640A5C"/>
    <w:rsid w:val="00641252"/>
    <w:rsid w:val="00641A64"/>
    <w:rsid w:val="00643A38"/>
    <w:rsid w:val="00646DC2"/>
    <w:rsid w:val="00647677"/>
    <w:rsid w:val="00647915"/>
    <w:rsid w:val="0065034D"/>
    <w:rsid w:val="00651470"/>
    <w:rsid w:val="00651D67"/>
    <w:rsid w:val="00653544"/>
    <w:rsid w:val="0065417A"/>
    <w:rsid w:val="006544DC"/>
    <w:rsid w:val="006550F4"/>
    <w:rsid w:val="00655496"/>
    <w:rsid w:val="0065593E"/>
    <w:rsid w:val="006562C2"/>
    <w:rsid w:val="006609C6"/>
    <w:rsid w:val="006610CF"/>
    <w:rsid w:val="006621BE"/>
    <w:rsid w:val="00663F5F"/>
    <w:rsid w:val="00664584"/>
    <w:rsid w:val="00666CDF"/>
    <w:rsid w:val="006678C2"/>
    <w:rsid w:val="006708BC"/>
    <w:rsid w:val="00671EA2"/>
    <w:rsid w:val="00673DD4"/>
    <w:rsid w:val="0067461F"/>
    <w:rsid w:val="0067498B"/>
    <w:rsid w:val="00675161"/>
    <w:rsid w:val="006759AE"/>
    <w:rsid w:val="00675A1E"/>
    <w:rsid w:val="006777F0"/>
    <w:rsid w:val="00681984"/>
    <w:rsid w:val="0068332C"/>
    <w:rsid w:val="0068378C"/>
    <w:rsid w:val="00684228"/>
    <w:rsid w:val="0068483C"/>
    <w:rsid w:val="00685358"/>
    <w:rsid w:val="00691321"/>
    <w:rsid w:val="0069197D"/>
    <w:rsid w:val="00693004"/>
    <w:rsid w:val="00693099"/>
    <w:rsid w:val="0069477B"/>
    <w:rsid w:val="00694A32"/>
    <w:rsid w:val="00695432"/>
    <w:rsid w:val="00697197"/>
    <w:rsid w:val="00697D5B"/>
    <w:rsid w:val="006A1474"/>
    <w:rsid w:val="006A2F98"/>
    <w:rsid w:val="006A436B"/>
    <w:rsid w:val="006A4394"/>
    <w:rsid w:val="006A778C"/>
    <w:rsid w:val="006A7B88"/>
    <w:rsid w:val="006B0C39"/>
    <w:rsid w:val="006B1056"/>
    <w:rsid w:val="006B2BD3"/>
    <w:rsid w:val="006B2C46"/>
    <w:rsid w:val="006B300E"/>
    <w:rsid w:val="006B3872"/>
    <w:rsid w:val="006B41B8"/>
    <w:rsid w:val="006B5E7A"/>
    <w:rsid w:val="006B6305"/>
    <w:rsid w:val="006B7594"/>
    <w:rsid w:val="006B798B"/>
    <w:rsid w:val="006C0F09"/>
    <w:rsid w:val="006C127F"/>
    <w:rsid w:val="006C2272"/>
    <w:rsid w:val="006C2B0F"/>
    <w:rsid w:val="006C3EAD"/>
    <w:rsid w:val="006C4512"/>
    <w:rsid w:val="006C6582"/>
    <w:rsid w:val="006C6A2A"/>
    <w:rsid w:val="006C7F82"/>
    <w:rsid w:val="006D0616"/>
    <w:rsid w:val="006D2863"/>
    <w:rsid w:val="006D2B6D"/>
    <w:rsid w:val="006D2C68"/>
    <w:rsid w:val="006D4592"/>
    <w:rsid w:val="006D4F6A"/>
    <w:rsid w:val="006D7776"/>
    <w:rsid w:val="006E55B1"/>
    <w:rsid w:val="006E6993"/>
    <w:rsid w:val="006E7E76"/>
    <w:rsid w:val="006F0ED5"/>
    <w:rsid w:val="006F2857"/>
    <w:rsid w:val="006F2C51"/>
    <w:rsid w:val="006F3B42"/>
    <w:rsid w:val="006F3D02"/>
    <w:rsid w:val="006F5264"/>
    <w:rsid w:val="00700D57"/>
    <w:rsid w:val="00701082"/>
    <w:rsid w:val="00701227"/>
    <w:rsid w:val="007016DE"/>
    <w:rsid w:val="007025FE"/>
    <w:rsid w:val="00702E9D"/>
    <w:rsid w:val="00703E94"/>
    <w:rsid w:val="00703EB0"/>
    <w:rsid w:val="0070445D"/>
    <w:rsid w:val="00705392"/>
    <w:rsid w:val="007058CA"/>
    <w:rsid w:val="00705D49"/>
    <w:rsid w:val="00706AD8"/>
    <w:rsid w:val="00707BC0"/>
    <w:rsid w:val="007106DB"/>
    <w:rsid w:val="00712B63"/>
    <w:rsid w:val="007146F3"/>
    <w:rsid w:val="00714898"/>
    <w:rsid w:val="0071493B"/>
    <w:rsid w:val="007151D8"/>
    <w:rsid w:val="00717D0F"/>
    <w:rsid w:val="00720219"/>
    <w:rsid w:val="007205DD"/>
    <w:rsid w:val="007206E0"/>
    <w:rsid w:val="007216D7"/>
    <w:rsid w:val="00721A17"/>
    <w:rsid w:val="007232EE"/>
    <w:rsid w:val="007243D5"/>
    <w:rsid w:val="00724BFA"/>
    <w:rsid w:val="00725EB7"/>
    <w:rsid w:val="0072602F"/>
    <w:rsid w:val="007274D1"/>
    <w:rsid w:val="00727BDC"/>
    <w:rsid w:val="007308AD"/>
    <w:rsid w:val="00730A53"/>
    <w:rsid w:val="00731849"/>
    <w:rsid w:val="0073205A"/>
    <w:rsid w:val="00732507"/>
    <w:rsid w:val="007330C3"/>
    <w:rsid w:val="00734432"/>
    <w:rsid w:val="0073555B"/>
    <w:rsid w:val="00735A0C"/>
    <w:rsid w:val="0073650E"/>
    <w:rsid w:val="00736E2C"/>
    <w:rsid w:val="00736FC4"/>
    <w:rsid w:val="007404A8"/>
    <w:rsid w:val="00742584"/>
    <w:rsid w:val="0074347D"/>
    <w:rsid w:val="00745874"/>
    <w:rsid w:val="007458DC"/>
    <w:rsid w:val="007503A0"/>
    <w:rsid w:val="00752058"/>
    <w:rsid w:val="00755BCA"/>
    <w:rsid w:val="00755D9C"/>
    <w:rsid w:val="00755FE1"/>
    <w:rsid w:val="00756B9A"/>
    <w:rsid w:val="00760EE6"/>
    <w:rsid w:val="00761595"/>
    <w:rsid w:val="00761A27"/>
    <w:rsid w:val="00761F6C"/>
    <w:rsid w:val="00762413"/>
    <w:rsid w:val="00763EE3"/>
    <w:rsid w:val="0076524F"/>
    <w:rsid w:val="007707AC"/>
    <w:rsid w:val="00770F95"/>
    <w:rsid w:val="0077172B"/>
    <w:rsid w:val="00773E61"/>
    <w:rsid w:val="00774D01"/>
    <w:rsid w:val="007776F9"/>
    <w:rsid w:val="00777F39"/>
    <w:rsid w:val="007810FD"/>
    <w:rsid w:val="00781D25"/>
    <w:rsid w:val="007839DD"/>
    <w:rsid w:val="00786F32"/>
    <w:rsid w:val="0079545B"/>
    <w:rsid w:val="00795E76"/>
    <w:rsid w:val="007971DC"/>
    <w:rsid w:val="007A0B5B"/>
    <w:rsid w:val="007A0E0B"/>
    <w:rsid w:val="007A1099"/>
    <w:rsid w:val="007A7C4A"/>
    <w:rsid w:val="007B1998"/>
    <w:rsid w:val="007B1FC0"/>
    <w:rsid w:val="007B2464"/>
    <w:rsid w:val="007B2A30"/>
    <w:rsid w:val="007B4229"/>
    <w:rsid w:val="007B492E"/>
    <w:rsid w:val="007B6955"/>
    <w:rsid w:val="007C20ED"/>
    <w:rsid w:val="007C218D"/>
    <w:rsid w:val="007C258C"/>
    <w:rsid w:val="007C3CF3"/>
    <w:rsid w:val="007C5F6A"/>
    <w:rsid w:val="007C5F97"/>
    <w:rsid w:val="007C74C0"/>
    <w:rsid w:val="007C7BCC"/>
    <w:rsid w:val="007C7DC2"/>
    <w:rsid w:val="007C7FD5"/>
    <w:rsid w:val="007D02DB"/>
    <w:rsid w:val="007D0794"/>
    <w:rsid w:val="007D3321"/>
    <w:rsid w:val="007D3B0F"/>
    <w:rsid w:val="007D61F2"/>
    <w:rsid w:val="007D77BB"/>
    <w:rsid w:val="007E1EF7"/>
    <w:rsid w:val="007E22D1"/>
    <w:rsid w:val="007E31EF"/>
    <w:rsid w:val="007E412D"/>
    <w:rsid w:val="007E546D"/>
    <w:rsid w:val="007E5485"/>
    <w:rsid w:val="007E65E4"/>
    <w:rsid w:val="007E6DEF"/>
    <w:rsid w:val="007E72AD"/>
    <w:rsid w:val="007E72D4"/>
    <w:rsid w:val="007F03AD"/>
    <w:rsid w:val="007F07BB"/>
    <w:rsid w:val="007F0B56"/>
    <w:rsid w:val="007F12C8"/>
    <w:rsid w:val="007F1329"/>
    <w:rsid w:val="007F2535"/>
    <w:rsid w:val="007F2DF8"/>
    <w:rsid w:val="007F330A"/>
    <w:rsid w:val="007F34E2"/>
    <w:rsid w:val="007F37AC"/>
    <w:rsid w:val="007F37CF"/>
    <w:rsid w:val="007F3B6D"/>
    <w:rsid w:val="007F3E3D"/>
    <w:rsid w:val="007F406C"/>
    <w:rsid w:val="007F6129"/>
    <w:rsid w:val="007F6167"/>
    <w:rsid w:val="00801704"/>
    <w:rsid w:val="00802B29"/>
    <w:rsid w:val="0080557B"/>
    <w:rsid w:val="00806202"/>
    <w:rsid w:val="00806248"/>
    <w:rsid w:val="00806838"/>
    <w:rsid w:val="00807331"/>
    <w:rsid w:val="008073A8"/>
    <w:rsid w:val="00807773"/>
    <w:rsid w:val="00811C74"/>
    <w:rsid w:val="0081232E"/>
    <w:rsid w:val="00812578"/>
    <w:rsid w:val="00812B1F"/>
    <w:rsid w:val="00812E16"/>
    <w:rsid w:val="0081305C"/>
    <w:rsid w:val="008130CF"/>
    <w:rsid w:val="008132DE"/>
    <w:rsid w:val="0081433A"/>
    <w:rsid w:val="00817F0C"/>
    <w:rsid w:val="0082362A"/>
    <w:rsid w:val="00826AE7"/>
    <w:rsid w:val="00826DCD"/>
    <w:rsid w:val="008308CF"/>
    <w:rsid w:val="008310F1"/>
    <w:rsid w:val="00831159"/>
    <w:rsid w:val="008329C9"/>
    <w:rsid w:val="00833EB9"/>
    <w:rsid w:val="0083441D"/>
    <w:rsid w:val="0083552F"/>
    <w:rsid w:val="00835D3A"/>
    <w:rsid w:val="008407E7"/>
    <w:rsid w:val="00841020"/>
    <w:rsid w:val="00843459"/>
    <w:rsid w:val="008436FC"/>
    <w:rsid w:val="00844DC7"/>
    <w:rsid w:val="00845248"/>
    <w:rsid w:val="008504D7"/>
    <w:rsid w:val="00851A6D"/>
    <w:rsid w:val="00852246"/>
    <w:rsid w:val="008525D9"/>
    <w:rsid w:val="00852C79"/>
    <w:rsid w:val="00854071"/>
    <w:rsid w:val="00855368"/>
    <w:rsid w:val="00855452"/>
    <w:rsid w:val="00855DB2"/>
    <w:rsid w:val="00855FC1"/>
    <w:rsid w:val="00857475"/>
    <w:rsid w:val="00857517"/>
    <w:rsid w:val="00860727"/>
    <w:rsid w:val="008634D7"/>
    <w:rsid w:val="00864B1B"/>
    <w:rsid w:val="00865913"/>
    <w:rsid w:val="00865DE8"/>
    <w:rsid w:val="00867844"/>
    <w:rsid w:val="00867903"/>
    <w:rsid w:val="00867DE5"/>
    <w:rsid w:val="00870FB9"/>
    <w:rsid w:val="00873AF7"/>
    <w:rsid w:val="008743B3"/>
    <w:rsid w:val="008750A3"/>
    <w:rsid w:val="008755DC"/>
    <w:rsid w:val="00880ED8"/>
    <w:rsid w:val="00881829"/>
    <w:rsid w:val="00885E25"/>
    <w:rsid w:val="0088603D"/>
    <w:rsid w:val="008870D0"/>
    <w:rsid w:val="00887663"/>
    <w:rsid w:val="00887D70"/>
    <w:rsid w:val="008910DB"/>
    <w:rsid w:val="0089143C"/>
    <w:rsid w:val="00893221"/>
    <w:rsid w:val="00893470"/>
    <w:rsid w:val="0089499B"/>
    <w:rsid w:val="00897E4B"/>
    <w:rsid w:val="008A011C"/>
    <w:rsid w:val="008A01CA"/>
    <w:rsid w:val="008A0390"/>
    <w:rsid w:val="008A1D6F"/>
    <w:rsid w:val="008A27B3"/>
    <w:rsid w:val="008A28D8"/>
    <w:rsid w:val="008A3A79"/>
    <w:rsid w:val="008A3B14"/>
    <w:rsid w:val="008A4C99"/>
    <w:rsid w:val="008A55B1"/>
    <w:rsid w:val="008A627A"/>
    <w:rsid w:val="008A6CA4"/>
    <w:rsid w:val="008A6E60"/>
    <w:rsid w:val="008B0554"/>
    <w:rsid w:val="008B0597"/>
    <w:rsid w:val="008B0944"/>
    <w:rsid w:val="008B0C79"/>
    <w:rsid w:val="008B1E6D"/>
    <w:rsid w:val="008C010C"/>
    <w:rsid w:val="008C06DD"/>
    <w:rsid w:val="008C0EC9"/>
    <w:rsid w:val="008C11B7"/>
    <w:rsid w:val="008C4452"/>
    <w:rsid w:val="008C5BA2"/>
    <w:rsid w:val="008C672B"/>
    <w:rsid w:val="008C68D4"/>
    <w:rsid w:val="008C6CE8"/>
    <w:rsid w:val="008C727A"/>
    <w:rsid w:val="008D0BED"/>
    <w:rsid w:val="008D11DD"/>
    <w:rsid w:val="008D3493"/>
    <w:rsid w:val="008D38EA"/>
    <w:rsid w:val="008D4F27"/>
    <w:rsid w:val="008D6C5E"/>
    <w:rsid w:val="008D6E54"/>
    <w:rsid w:val="008D7DB3"/>
    <w:rsid w:val="008E4E32"/>
    <w:rsid w:val="008E7B03"/>
    <w:rsid w:val="008E7F80"/>
    <w:rsid w:val="008F0451"/>
    <w:rsid w:val="008F1F0C"/>
    <w:rsid w:val="008F2A25"/>
    <w:rsid w:val="008F2D72"/>
    <w:rsid w:val="008F5EF2"/>
    <w:rsid w:val="008F5F4B"/>
    <w:rsid w:val="008F6200"/>
    <w:rsid w:val="0090023B"/>
    <w:rsid w:val="00901392"/>
    <w:rsid w:val="009016D0"/>
    <w:rsid w:val="00901946"/>
    <w:rsid w:val="00901F57"/>
    <w:rsid w:val="00902593"/>
    <w:rsid w:val="009025CA"/>
    <w:rsid w:val="0090264E"/>
    <w:rsid w:val="0090390D"/>
    <w:rsid w:val="00904871"/>
    <w:rsid w:val="00904F62"/>
    <w:rsid w:val="00905A35"/>
    <w:rsid w:val="009077D5"/>
    <w:rsid w:val="00910B89"/>
    <w:rsid w:val="00911B99"/>
    <w:rsid w:val="00911FC1"/>
    <w:rsid w:val="00912B88"/>
    <w:rsid w:val="00912D79"/>
    <w:rsid w:val="00913171"/>
    <w:rsid w:val="00913661"/>
    <w:rsid w:val="00915243"/>
    <w:rsid w:val="00915988"/>
    <w:rsid w:val="00916891"/>
    <w:rsid w:val="00920EFD"/>
    <w:rsid w:val="00921847"/>
    <w:rsid w:val="0092316C"/>
    <w:rsid w:val="009243C4"/>
    <w:rsid w:val="00924A85"/>
    <w:rsid w:val="00925739"/>
    <w:rsid w:val="00925E7C"/>
    <w:rsid w:val="00931025"/>
    <w:rsid w:val="009316D8"/>
    <w:rsid w:val="00931BC1"/>
    <w:rsid w:val="00932365"/>
    <w:rsid w:val="00932C52"/>
    <w:rsid w:val="00933D2D"/>
    <w:rsid w:val="0093402B"/>
    <w:rsid w:val="0093479E"/>
    <w:rsid w:val="00935E2E"/>
    <w:rsid w:val="00937D70"/>
    <w:rsid w:val="009400FA"/>
    <w:rsid w:val="009416A6"/>
    <w:rsid w:val="00944B38"/>
    <w:rsid w:val="00945580"/>
    <w:rsid w:val="009464AA"/>
    <w:rsid w:val="00946574"/>
    <w:rsid w:val="00950A6A"/>
    <w:rsid w:val="00950F10"/>
    <w:rsid w:val="009539A1"/>
    <w:rsid w:val="00955156"/>
    <w:rsid w:val="009552C5"/>
    <w:rsid w:val="009552ED"/>
    <w:rsid w:val="009569E1"/>
    <w:rsid w:val="00956F5A"/>
    <w:rsid w:val="00957037"/>
    <w:rsid w:val="009606B4"/>
    <w:rsid w:val="00960AA8"/>
    <w:rsid w:val="00960FBE"/>
    <w:rsid w:val="009614A8"/>
    <w:rsid w:val="00961B66"/>
    <w:rsid w:val="00962847"/>
    <w:rsid w:val="00964314"/>
    <w:rsid w:val="00967804"/>
    <w:rsid w:val="00967C7B"/>
    <w:rsid w:val="009707CE"/>
    <w:rsid w:val="00970E48"/>
    <w:rsid w:val="00971FA3"/>
    <w:rsid w:val="0097204D"/>
    <w:rsid w:val="00972EFD"/>
    <w:rsid w:val="00973843"/>
    <w:rsid w:val="00973A7B"/>
    <w:rsid w:val="00974971"/>
    <w:rsid w:val="00974DB1"/>
    <w:rsid w:val="009767D4"/>
    <w:rsid w:val="00980131"/>
    <w:rsid w:val="00981E28"/>
    <w:rsid w:val="00982FD5"/>
    <w:rsid w:val="009830F2"/>
    <w:rsid w:val="0098475B"/>
    <w:rsid w:val="00984E16"/>
    <w:rsid w:val="00986883"/>
    <w:rsid w:val="00987CFF"/>
    <w:rsid w:val="0099188B"/>
    <w:rsid w:val="0099212C"/>
    <w:rsid w:val="009925FE"/>
    <w:rsid w:val="00992DF7"/>
    <w:rsid w:val="00993B36"/>
    <w:rsid w:val="00994A17"/>
    <w:rsid w:val="00997B23"/>
    <w:rsid w:val="009A0D29"/>
    <w:rsid w:val="009A2ECC"/>
    <w:rsid w:val="009A34ED"/>
    <w:rsid w:val="009A3D70"/>
    <w:rsid w:val="009A7CC1"/>
    <w:rsid w:val="009B11D7"/>
    <w:rsid w:val="009B1257"/>
    <w:rsid w:val="009B1C67"/>
    <w:rsid w:val="009B3FD9"/>
    <w:rsid w:val="009B6FD4"/>
    <w:rsid w:val="009B776C"/>
    <w:rsid w:val="009C09A3"/>
    <w:rsid w:val="009C1F1B"/>
    <w:rsid w:val="009C583B"/>
    <w:rsid w:val="009C5A12"/>
    <w:rsid w:val="009D1184"/>
    <w:rsid w:val="009D1245"/>
    <w:rsid w:val="009D55D9"/>
    <w:rsid w:val="009D633B"/>
    <w:rsid w:val="009D6DFB"/>
    <w:rsid w:val="009E00BC"/>
    <w:rsid w:val="009E0E0A"/>
    <w:rsid w:val="009E232D"/>
    <w:rsid w:val="009E2F3D"/>
    <w:rsid w:val="009E4187"/>
    <w:rsid w:val="009E7919"/>
    <w:rsid w:val="009F0E8D"/>
    <w:rsid w:val="009F3D7B"/>
    <w:rsid w:val="009F630C"/>
    <w:rsid w:val="00A001DB"/>
    <w:rsid w:val="00A0081A"/>
    <w:rsid w:val="00A00C75"/>
    <w:rsid w:val="00A01119"/>
    <w:rsid w:val="00A014B9"/>
    <w:rsid w:val="00A0230D"/>
    <w:rsid w:val="00A02BD2"/>
    <w:rsid w:val="00A03BA2"/>
    <w:rsid w:val="00A03F68"/>
    <w:rsid w:val="00A04A44"/>
    <w:rsid w:val="00A0504E"/>
    <w:rsid w:val="00A0657B"/>
    <w:rsid w:val="00A07A45"/>
    <w:rsid w:val="00A1025E"/>
    <w:rsid w:val="00A108B7"/>
    <w:rsid w:val="00A1128E"/>
    <w:rsid w:val="00A1291B"/>
    <w:rsid w:val="00A12CBD"/>
    <w:rsid w:val="00A13E6F"/>
    <w:rsid w:val="00A14093"/>
    <w:rsid w:val="00A14A20"/>
    <w:rsid w:val="00A14FE5"/>
    <w:rsid w:val="00A151CF"/>
    <w:rsid w:val="00A161A0"/>
    <w:rsid w:val="00A16E29"/>
    <w:rsid w:val="00A17D3E"/>
    <w:rsid w:val="00A220F0"/>
    <w:rsid w:val="00A22565"/>
    <w:rsid w:val="00A26301"/>
    <w:rsid w:val="00A273A9"/>
    <w:rsid w:val="00A27972"/>
    <w:rsid w:val="00A27FBE"/>
    <w:rsid w:val="00A30C5D"/>
    <w:rsid w:val="00A32195"/>
    <w:rsid w:val="00A34640"/>
    <w:rsid w:val="00A34EDB"/>
    <w:rsid w:val="00A35753"/>
    <w:rsid w:val="00A3654B"/>
    <w:rsid w:val="00A367E1"/>
    <w:rsid w:val="00A41C57"/>
    <w:rsid w:val="00A42BA0"/>
    <w:rsid w:val="00A4342F"/>
    <w:rsid w:val="00A43C9D"/>
    <w:rsid w:val="00A43D3F"/>
    <w:rsid w:val="00A4698C"/>
    <w:rsid w:val="00A46993"/>
    <w:rsid w:val="00A504CD"/>
    <w:rsid w:val="00A507CE"/>
    <w:rsid w:val="00A50863"/>
    <w:rsid w:val="00A50A40"/>
    <w:rsid w:val="00A51431"/>
    <w:rsid w:val="00A51CE7"/>
    <w:rsid w:val="00A51D32"/>
    <w:rsid w:val="00A521DB"/>
    <w:rsid w:val="00A524AE"/>
    <w:rsid w:val="00A57C82"/>
    <w:rsid w:val="00A60A1B"/>
    <w:rsid w:val="00A611F2"/>
    <w:rsid w:val="00A61422"/>
    <w:rsid w:val="00A6710B"/>
    <w:rsid w:val="00A677B9"/>
    <w:rsid w:val="00A67D16"/>
    <w:rsid w:val="00A67FCC"/>
    <w:rsid w:val="00A70E9C"/>
    <w:rsid w:val="00A72CCF"/>
    <w:rsid w:val="00A73549"/>
    <w:rsid w:val="00A74542"/>
    <w:rsid w:val="00A74F2F"/>
    <w:rsid w:val="00A779E0"/>
    <w:rsid w:val="00A77B73"/>
    <w:rsid w:val="00A81134"/>
    <w:rsid w:val="00A81DDD"/>
    <w:rsid w:val="00A81E8F"/>
    <w:rsid w:val="00A83188"/>
    <w:rsid w:val="00A84E5E"/>
    <w:rsid w:val="00A85579"/>
    <w:rsid w:val="00A85E7C"/>
    <w:rsid w:val="00A86B99"/>
    <w:rsid w:val="00A907AB"/>
    <w:rsid w:val="00A90D3A"/>
    <w:rsid w:val="00A92003"/>
    <w:rsid w:val="00A94084"/>
    <w:rsid w:val="00A9492C"/>
    <w:rsid w:val="00A949BC"/>
    <w:rsid w:val="00A949E2"/>
    <w:rsid w:val="00A968BC"/>
    <w:rsid w:val="00A96E8D"/>
    <w:rsid w:val="00AA0709"/>
    <w:rsid w:val="00AA1889"/>
    <w:rsid w:val="00AA1BFD"/>
    <w:rsid w:val="00AA2FB0"/>
    <w:rsid w:val="00AA36B6"/>
    <w:rsid w:val="00AA6572"/>
    <w:rsid w:val="00AA6A2B"/>
    <w:rsid w:val="00AA6B7D"/>
    <w:rsid w:val="00AA7401"/>
    <w:rsid w:val="00AB0115"/>
    <w:rsid w:val="00AB0922"/>
    <w:rsid w:val="00AB1757"/>
    <w:rsid w:val="00AB1A61"/>
    <w:rsid w:val="00AB1C29"/>
    <w:rsid w:val="00AB1E96"/>
    <w:rsid w:val="00AB22F6"/>
    <w:rsid w:val="00AB4024"/>
    <w:rsid w:val="00AB4337"/>
    <w:rsid w:val="00AB5D7A"/>
    <w:rsid w:val="00AB7E08"/>
    <w:rsid w:val="00AC0D11"/>
    <w:rsid w:val="00AC1CE7"/>
    <w:rsid w:val="00AC40B6"/>
    <w:rsid w:val="00AC4453"/>
    <w:rsid w:val="00AC7549"/>
    <w:rsid w:val="00AD0329"/>
    <w:rsid w:val="00AD090C"/>
    <w:rsid w:val="00AD1379"/>
    <w:rsid w:val="00AD19BE"/>
    <w:rsid w:val="00AD19FF"/>
    <w:rsid w:val="00AD42B3"/>
    <w:rsid w:val="00AD5CCA"/>
    <w:rsid w:val="00AD74BA"/>
    <w:rsid w:val="00AD7FE7"/>
    <w:rsid w:val="00AE0090"/>
    <w:rsid w:val="00AE0B2C"/>
    <w:rsid w:val="00AE2855"/>
    <w:rsid w:val="00AE322A"/>
    <w:rsid w:val="00AE3DBC"/>
    <w:rsid w:val="00AE4DAE"/>
    <w:rsid w:val="00AE5191"/>
    <w:rsid w:val="00AE58EC"/>
    <w:rsid w:val="00AE5B1E"/>
    <w:rsid w:val="00AF053E"/>
    <w:rsid w:val="00AF0DCB"/>
    <w:rsid w:val="00AF0F3D"/>
    <w:rsid w:val="00AF1BEE"/>
    <w:rsid w:val="00AF27D5"/>
    <w:rsid w:val="00AF34B8"/>
    <w:rsid w:val="00AF364E"/>
    <w:rsid w:val="00AF38B8"/>
    <w:rsid w:val="00AF5C73"/>
    <w:rsid w:val="00B0115E"/>
    <w:rsid w:val="00B02A3E"/>
    <w:rsid w:val="00B02E40"/>
    <w:rsid w:val="00B038C4"/>
    <w:rsid w:val="00B044FD"/>
    <w:rsid w:val="00B075B6"/>
    <w:rsid w:val="00B078E7"/>
    <w:rsid w:val="00B103E7"/>
    <w:rsid w:val="00B1109B"/>
    <w:rsid w:val="00B1154B"/>
    <w:rsid w:val="00B1220E"/>
    <w:rsid w:val="00B1336A"/>
    <w:rsid w:val="00B15ED6"/>
    <w:rsid w:val="00B166EA"/>
    <w:rsid w:val="00B1753F"/>
    <w:rsid w:val="00B175C6"/>
    <w:rsid w:val="00B218FC"/>
    <w:rsid w:val="00B23014"/>
    <w:rsid w:val="00B23661"/>
    <w:rsid w:val="00B23F79"/>
    <w:rsid w:val="00B24007"/>
    <w:rsid w:val="00B25F68"/>
    <w:rsid w:val="00B2634E"/>
    <w:rsid w:val="00B3040D"/>
    <w:rsid w:val="00B311F1"/>
    <w:rsid w:val="00B3270F"/>
    <w:rsid w:val="00B3431E"/>
    <w:rsid w:val="00B34785"/>
    <w:rsid w:val="00B34845"/>
    <w:rsid w:val="00B356F8"/>
    <w:rsid w:val="00B368EB"/>
    <w:rsid w:val="00B37E69"/>
    <w:rsid w:val="00B37F26"/>
    <w:rsid w:val="00B40DB2"/>
    <w:rsid w:val="00B421F4"/>
    <w:rsid w:val="00B42488"/>
    <w:rsid w:val="00B42828"/>
    <w:rsid w:val="00B4507D"/>
    <w:rsid w:val="00B46905"/>
    <w:rsid w:val="00B47601"/>
    <w:rsid w:val="00B47EB1"/>
    <w:rsid w:val="00B504EB"/>
    <w:rsid w:val="00B50E9D"/>
    <w:rsid w:val="00B52DCB"/>
    <w:rsid w:val="00B535DA"/>
    <w:rsid w:val="00B5380E"/>
    <w:rsid w:val="00B54878"/>
    <w:rsid w:val="00B563CA"/>
    <w:rsid w:val="00B56F62"/>
    <w:rsid w:val="00B57385"/>
    <w:rsid w:val="00B573F2"/>
    <w:rsid w:val="00B5763B"/>
    <w:rsid w:val="00B62148"/>
    <w:rsid w:val="00B630F6"/>
    <w:rsid w:val="00B650E8"/>
    <w:rsid w:val="00B672B8"/>
    <w:rsid w:val="00B71B1D"/>
    <w:rsid w:val="00B71DC3"/>
    <w:rsid w:val="00B71F49"/>
    <w:rsid w:val="00B72C30"/>
    <w:rsid w:val="00B740AD"/>
    <w:rsid w:val="00B74E21"/>
    <w:rsid w:val="00B77272"/>
    <w:rsid w:val="00B81215"/>
    <w:rsid w:val="00B819BC"/>
    <w:rsid w:val="00B823BE"/>
    <w:rsid w:val="00B83023"/>
    <w:rsid w:val="00B8450A"/>
    <w:rsid w:val="00B84863"/>
    <w:rsid w:val="00B852EC"/>
    <w:rsid w:val="00B85DFD"/>
    <w:rsid w:val="00B871EF"/>
    <w:rsid w:val="00B8764F"/>
    <w:rsid w:val="00B91105"/>
    <w:rsid w:val="00B911EF"/>
    <w:rsid w:val="00B9166C"/>
    <w:rsid w:val="00B96032"/>
    <w:rsid w:val="00B9628B"/>
    <w:rsid w:val="00B96BBE"/>
    <w:rsid w:val="00BA18A3"/>
    <w:rsid w:val="00BA4041"/>
    <w:rsid w:val="00BA49E9"/>
    <w:rsid w:val="00BA6E0D"/>
    <w:rsid w:val="00BA6EAF"/>
    <w:rsid w:val="00BA753A"/>
    <w:rsid w:val="00BA79F5"/>
    <w:rsid w:val="00BB030D"/>
    <w:rsid w:val="00BB104E"/>
    <w:rsid w:val="00BB14B8"/>
    <w:rsid w:val="00BB1C31"/>
    <w:rsid w:val="00BB2172"/>
    <w:rsid w:val="00BB22BD"/>
    <w:rsid w:val="00BB297C"/>
    <w:rsid w:val="00BB3463"/>
    <w:rsid w:val="00BB62CD"/>
    <w:rsid w:val="00BC3046"/>
    <w:rsid w:val="00BC4D71"/>
    <w:rsid w:val="00BC5D7D"/>
    <w:rsid w:val="00BC7CEA"/>
    <w:rsid w:val="00BD0284"/>
    <w:rsid w:val="00BD1EBC"/>
    <w:rsid w:val="00BD26E3"/>
    <w:rsid w:val="00BD27ED"/>
    <w:rsid w:val="00BD3985"/>
    <w:rsid w:val="00BD3D66"/>
    <w:rsid w:val="00BD3FB8"/>
    <w:rsid w:val="00BD5497"/>
    <w:rsid w:val="00BD58C5"/>
    <w:rsid w:val="00BD598A"/>
    <w:rsid w:val="00BD5E76"/>
    <w:rsid w:val="00BD74D5"/>
    <w:rsid w:val="00BD7C92"/>
    <w:rsid w:val="00BE0B9C"/>
    <w:rsid w:val="00BE1C0A"/>
    <w:rsid w:val="00BE2590"/>
    <w:rsid w:val="00BE3212"/>
    <w:rsid w:val="00BE3967"/>
    <w:rsid w:val="00BE5144"/>
    <w:rsid w:val="00BE6BCB"/>
    <w:rsid w:val="00BE6C28"/>
    <w:rsid w:val="00BE7C55"/>
    <w:rsid w:val="00BF0863"/>
    <w:rsid w:val="00BF0877"/>
    <w:rsid w:val="00BF0B7E"/>
    <w:rsid w:val="00BF0D03"/>
    <w:rsid w:val="00BF279D"/>
    <w:rsid w:val="00BF295C"/>
    <w:rsid w:val="00BF375F"/>
    <w:rsid w:val="00BF6FC2"/>
    <w:rsid w:val="00BF7147"/>
    <w:rsid w:val="00C007FE"/>
    <w:rsid w:val="00C00A1E"/>
    <w:rsid w:val="00C00C77"/>
    <w:rsid w:val="00C03504"/>
    <w:rsid w:val="00C043B5"/>
    <w:rsid w:val="00C06346"/>
    <w:rsid w:val="00C10D1D"/>
    <w:rsid w:val="00C10E9B"/>
    <w:rsid w:val="00C111FF"/>
    <w:rsid w:val="00C11E86"/>
    <w:rsid w:val="00C12F26"/>
    <w:rsid w:val="00C13A6F"/>
    <w:rsid w:val="00C14D5F"/>
    <w:rsid w:val="00C15012"/>
    <w:rsid w:val="00C15BA6"/>
    <w:rsid w:val="00C17675"/>
    <w:rsid w:val="00C20C97"/>
    <w:rsid w:val="00C21390"/>
    <w:rsid w:val="00C218B9"/>
    <w:rsid w:val="00C223CE"/>
    <w:rsid w:val="00C234C5"/>
    <w:rsid w:val="00C23DA1"/>
    <w:rsid w:val="00C24E23"/>
    <w:rsid w:val="00C256CB"/>
    <w:rsid w:val="00C25B8B"/>
    <w:rsid w:val="00C27345"/>
    <w:rsid w:val="00C30990"/>
    <w:rsid w:val="00C319B8"/>
    <w:rsid w:val="00C34289"/>
    <w:rsid w:val="00C344BF"/>
    <w:rsid w:val="00C347EF"/>
    <w:rsid w:val="00C34BD6"/>
    <w:rsid w:val="00C363E2"/>
    <w:rsid w:val="00C36D5F"/>
    <w:rsid w:val="00C37C22"/>
    <w:rsid w:val="00C37D71"/>
    <w:rsid w:val="00C42A8D"/>
    <w:rsid w:val="00C46011"/>
    <w:rsid w:val="00C46353"/>
    <w:rsid w:val="00C46D9E"/>
    <w:rsid w:val="00C53BE1"/>
    <w:rsid w:val="00C53C12"/>
    <w:rsid w:val="00C55964"/>
    <w:rsid w:val="00C60048"/>
    <w:rsid w:val="00C61023"/>
    <w:rsid w:val="00C61118"/>
    <w:rsid w:val="00C6126F"/>
    <w:rsid w:val="00C63381"/>
    <w:rsid w:val="00C64030"/>
    <w:rsid w:val="00C676DD"/>
    <w:rsid w:val="00C6770E"/>
    <w:rsid w:val="00C67B75"/>
    <w:rsid w:val="00C715AC"/>
    <w:rsid w:val="00C722EE"/>
    <w:rsid w:val="00C72875"/>
    <w:rsid w:val="00C73E66"/>
    <w:rsid w:val="00C7568D"/>
    <w:rsid w:val="00C75EB7"/>
    <w:rsid w:val="00C76B1D"/>
    <w:rsid w:val="00C76D45"/>
    <w:rsid w:val="00C77FCF"/>
    <w:rsid w:val="00C828A4"/>
    <w:rsid w:val="00C84B11"/>
    <w:rsid w:val="00C903E9"/>
    <w:rsid w:val="00C91766"/>
    <w:rsid w:val="00C9339D"/>
    <w:rsid w:val="00C93E18"/>
    <w:rsid w:val="00C93F73"/>
    <w:rsid w:val="00C95710"/>
    <w:rsid w:val="00C95BC4"/>
    <w:rsid w:val="00C95E98"/>
    <w:rsid w:val="00C97340"/>
    <w:rsid w:val="00C9783F"/>
    <w:rsid w:val="00CA0919"/>
    <w:rsid w:val="00CA0ACC"/>
    <w:rsid w:val="00CA0C7D"/>
    <w:rsid w:val="00CA14B1"/>
    <w:rsid w:val="00CA168B"/>
    <w:rsid w:val="00CA1795"/>
    <w:rsid w:val="00CA1ADB"/>
    <w:rsid w:val="00CA2297"/>
    <w:rsid w:val="00CA2D84"/>
    <w:rsid w:val="00CA3C1C"/>
    <w:rsid w:val="00CA468F"/>
    <w:rsid w:val="00CA4CB5"/>
    <w:rsid w:val="00CA7342"/>
    <w:rsid w:val="00CA79B3"/>
    <w:rsid w:val="00CB069D"/>
    <w:rsid w:val="00CB13FA"/>
    <w:rsid w:val="00CB193D"/>
    <w:rsid w:val="00CB1F1D"/>
    <w:rsid w:val="00CB3104"/>
    <w:rsid w:val="00CB42E5"/>
    <w:rsid w:val="00CB4453"/>
    <w:rsid w:val="00CB54A5"/>
    <w:rsid w:val="00CB5C8F"/>
    <w:rsid w:val="00CB5E8C"/>
    <w:rsid w:val="00CB68E7"/>
    <w:rsid w:val="00CB70B1"/>
    <w:rsid w:val="00CB7136"/>
    <w:rsid w:val="00CB789B"/>
    <w:rsid w:val="00CC163A"/>
    <w:rsid w:val="00CC2BD1"/>
    <w:rsid w:val="00CC3C34"/>
    <w:rsid w:val="00CC3ED1"/>
    <w:rsid w:val="00CC4546"/>
    <w:rsid w:val="00CC5A4F"/>
    <w:rsid w:val="00CC6091"/>
    <w:rsid w:val="00CD2A50"/>
    <w:rsid w:val="00CD2E93"/>
    <w:rsid w:val="00CD3BB9"/>
    <w:rsid w:val="00CD43D0"/>
    <w:rsid w:val="00CD4C79"/>
    <w:rsid w:val="00CD654E"/>
    <w:rsid w:val="00CD734A"/>
    <w:rsid w:val="00CE105C"/>
    <w:rsid w:val="00CE2924"/>
    <w:rsid w:val="00CE3199"/>
    <w:rsid w:val="00CE641E"/>
    <w:rsid w:val="00CF060B"/>
    <w:rsid w:val="00CF10E6"/>
    <w:rsid w:val="00CF19D5"/>
    <w:rsid w:val="00CF2012"/>
    <w:rsid w:val="00CF24D9"/>
    <w:rsid w:val="00CF3614"/>
    <w:rsid w:val="00CF46D2"/>
    <w:rsid w:val="00CF4C37"/>
    <w:rsid w:val="00CF5634"/>
    <w:rsid w:val="00CF5C11"/>
    <w:rsid w:val="00D00DF6"/>
    <w:rsid w:val="00D018B2"/>
    <w:rsid w:val="00D01EBB"/>
    <w:rsid w:val="00D0252F"/>
    <w:rsid w:val="00D02768"/>
    <w:rsid w:val="00D0391C"/>
    <w:rsid w:val="00D045AF"/>
    <w:rsid w:val="00D048AB"/>
    <w:rsid w:val="00D04ED1"/>
    <w:rsid w:val="00D054E0"/>
    <w:rsid w:val="00D10503"/>
    <w:rsid w:val="00D11A51"/>
    <w:rsid w:val="00D11C0D"/>
    <w:rsid w:val="00D1210F"/>
    <w:rsid w:val="00D12660"/>
    <w:rsid w:val="00D14A02"/>
    <w:rsid w:val="00D14ABE"/>
    <w:rsid w:val="00D15042"/>
    <w:rsid w:val="00D153A8"/>
    <w:rsid w:val="00D15D80"/>
    <w:rsid w:val="00D16150"/>
    <w:rsid w:val="00D221AF"/>
    <w:rsid w:val="00D23458"/>
    <w:rsid w:val="00D25A5C"/>
    <w:rsid w:val="00D25C0E"/>
    <w:rsid w:val="00D25DE1"/>
    <w:rsid w:val="00D25F11"/>
    <w:rsid w:val="00D2724D"/>
    <w:rsid w:val="00D31FAB"/>
    <w:rsid w:val="00D324AA"/>
    <w:rsid w:val="00D3501D"/>
    <w:rsid w:val="00D35961"/>
    <w:rsid w:val="00D3609D"/>
    <w:rsid w:val="00D4095E"/>
    <w:rsid w:val="00D42409"/>
    <w:rsid w:val="00D431F6"/>
    <w:rsid w:val="00D43609"/>
    <w:rsid w:val="00D43C81"/>
    <w:rsid w:val="00D44E70"/>
    <w:rsid w:val="00D4553B"/>
    <w:rsid w:val="00D4711A"/>
    <w:rsid w:val="00D5341A"/>
    <w:rsid w:val="00D539D0"/>
    <w:rsid w:val="00D550D5"/>
    <w:rsid w:val="00D55905"/>
    <w:rsid w:val="00D55EDE"/>
    <w:rsid w:val="00D56897"/>
    <w:rsid w:val="00D56B89"/>
    <w:rsid w:val="00D5761D"/>
    <w:rsid w:val="00D57734"/>
    <w:rsid w:val="00D6074A"/>
    <w:rsid w:val="00D607E1"/>
    <w:rsid w:val="00D60935"/>
    <w:rsid w:val="00D60AAD"/>
    <w:rsid w:val="00D61C91"/>
    <w:rsid w:val="00D62001"/>
    <w:rsid w:val="00D6250F"/>
    <w:rsid w:val="00D62590"/>
    <w:rsid w:val="00D62F54"/>
    <w:rsid w:val="00D63A17"/>
    <w:rsid w:val="00D6426D"/>
    <w:rsid w:val="00D65568"/>
    <w:rsid w:val="00D67967"/>
    <w:rsid w:val="00D7085B"/>
    <w:rsid w:val="00D71B7D"/>
    <w:rsid w:val="00D72489"/>
    <w:rsid w:val="00D77877"/>
    <w:rsid w:val="00D779E8"/>
    <w:rsid w:val="00D806D3"/>
    <w:rsid w:val="00D8207A"/>
    <w:rsid w:val="00D83956"/>
    <w:rsid w:val="00D85099"/>
    <w:rsid w:val="00D8752A"/>
    <w:rsid w:val="00D87890"/>
    <w:rsid w:val="00D9200B"/>
    <w:rsid w:val="00D94398"/>
    <w:rsid w:val="00D9455F"/>
    <w:rsid w:val="00D94A07"/>
    <w:rsid w:val="00D94F8B"/>
    <w:rsid w:val="00D9572A"/>
    <w:rsid w:val="00D95BEE"/>
    <w:rsid w:val="00D95C76"/>
    <w:rsid w:val="00D96CEB"/>
    <w:rsid w:val="00D97648"/>
    <w:rsid w:val="00D978D2"/>
    <w:rsid w:val="00D97962"/>
    <w:rsid w:val="00DA0FBA"/>
    <w:rsid w:val="00DA1A1B"/>
    <w:rsid w:val="00DA5026"/>
    <w:rsid w:val="00DA54AF"/>
    <w:rsid w:val="00DA5808"/>
    <w:rsid w:val="00DA6B36"/>
    <w:rsid w:val="00DA75D4"/>
    <w:rsid w:val="00DB095C"/>
    <w:rsid w:val="00DB582E"/>
    <w:rsid w:val="00DB68CC"/>
    <w:rsid w:val="00DC01EC"/>
    <w:rsid w:val="00DC0E5D"/>
    <w:rsid w:val="00DC16F3"/>
    <w:rsid w:val="00DC1A71"/>
    <w:rsid w:val="00DC2634"/>
    <w:rsid w:val="00DC3556"/>
    <w:rsid w:val="00DC3D9D"/>
    <w:rsid w:val="00DC4EC1"/>
    <w:rsid w:val="00DC5553"/>
    <w:rsid w:val="00DC58EF"/>
    <w:rsid w:val="00DC5BAE"/>
    <w:rsid w:val="00DD19AB"/>
    <w:rsid w:val="00DD3959"/>
    <w:rsid w:val="00DD5C13"/>
    <w:rsid w:val="00DD5D9B"/>
    <w:rsid w:val="00DD764A"/>
    <w:rsid w:val="00DD7776"/>
    <w:rsid w:val="00DE03A9"/>
    <w:rsid w:val="00DE0A57"/>
    <w:rsid w:val="00DE0B75"/>
    <w:rsid w:val="00DE164B"/>
    <w:rsid w:val="00DE1CD5"/>
    <w:rsid w:val="00DE29F5"/>
    <w:rsid w:val="00DE2E7F"/>
    <w:rsid w:val="00DE358D"/>
    <w:rsid w:val="00DE42C0"/>
    <w:rsid w:val="00DE47A4"/>
    <w:rsid w:val="00DE5F73"/>
    <w:rsid w:val="00DE64EE"/>
    <w:rsid w:val="00DF06B5"/>
    <w:rsid w:val="00DF085C"/>
    <w:rsid w:val="00DF1622"/>
    <w:rsid w:val="00DF1AB5"/>
    <w:rsid w:val="00DF5013"/>
    <w:rsid w:val="00DF5508"/>
    <w:rsid w:val="00DF5BCB"/>
    <w:rsid w:val="00E00F4A"/>
    <w:rsid w:val="00E04E78"/>
    <w:rsid w:val="00E0515F"/>
    <w:rsid w:val="00E053CF"/>
    <w:rsid w:val="00E07DA4"/>
    <w:rsid w:val="00E10523"/>
    <w:rsid w:val="00E10AEA"/>
    <w:rsid w:val="00E13B3A"/>
    <w:rsid w:val="00E1419B"/>
    <w:rsid w:val="00E149E3"/>
    <w:rsid w:val="00E14C8F"/>
    <w:rsid w:val="00E15153"/>
    <w:rsid w:val="00E1546F"/>
    <w:rsid w:val="00E155A2"/>
    <w:rsid w:val="00E16737"/>
    <w:rsid w:val="00E17255"/>
    <w:rsid w:val="00E176C3"/>
    <w:rsid w:val="00E203CE"/>
    <w:rsid w:val="00E21A5F"/>
    <w:rsid w:val="00E22300"/>
    <w:rsid w:val="00E22D70"/>
    <w:rsid w:val="00E22F3A"/>
    <w:rsid w:val="00E273BF"/>
    <w:rsid w:val="00E30371"/>
    <w:rsid w:val="00E348E7"/>
    <w:rsid w:val="00E358C9"/>
    <w:rsid w:val="00E35ECF"/>
    <w:rsid w:val="00E35FBB"/>
    <w:rsid w:val="00E3604E"/>
    <w:rsid w:val="00E376F2"/>
    <w:rsid w:val="00E3778E"/>
    <w:rsid w:val="00E37D23"/>
    <w:rsid w:val="00E40C34"/>
    <w:rsid w:val="00E42AF2"/>
    <w:rsid w:val="00E42CB3"/>
    <w:rsid w:val="00E43590"/>
    <w:rsid w:val="00E44384"/>
    <w:rsid w:val="00E45154"/>
    <w:rsid w:val="00E4526A"/>
    <w:rsid w:val="00E473B1"/>
    <w:rsid w:val="00E47624"/>
    <w:rsid w:val="00E50B24"/>
    <w:rsid w:val="00E5337E"/>
    <w:rsid w:val="00E53D55"/>
    <w:rsid w:val="00E56318"/>
    <w:rsid w:val="00E61A4C"/>
    <w:rsid w:val="00E64013"/>
    <w:rsid w:val="00E65539"/>
    <w:rsid w:val="00E673F6"/>
    <w:rsid w:val="00E70DDB"/>
    <w:rsid w:val="00E723E4"/>
    <w:rsid w:val="00E73065"/>
    <w:rsid w:val="00E731A3"/>
    <w:rsid w:val="00E73CAE"/>
    <w:rsid w:val="00E73ECA"/>
    <w:rsid w:val="00E74B1B"/>
    <w:rsid w:val="00E76C44"/>
    <w:rsid w:val="00E804CD"/>
    <w:rsid w:val="00E81A4C"/>
    <w:rsid w:val="00E82163"/>
    <w:rsid w:val="00E823BF"/>
    <w:rsid w:val="00E8434C"/>
    <w:rsid w:val="00E84E7E"/>
    <w:rsid w:val="00E866D1"/>
    <w:rsid w:val="00E9138E"/>
    <w:rsid w:val="00E93362"/>
    <w:rsid w:val="00E93E79"/>
    <w:rsid w:val="00E941CA"/>
    <w:rsid w:val="00E94E13"/>
    <w:rsid w:val="00E959B6"/>
    <w:rsid w:val="00E95E02"/>
    <w:rsid w:val="00E96B26"/>
    <w:rsid w:val="00EA0CEB"/>
    <w:rsid w:val="00EA1328"/>
    <w:rsid w:val="00EA2BA9"/>
    <w:rsid w:val="00EA43F9"/>
    <w:rsid w:val="00EA4AC6"/>
    <w:rsid w:val="00EA4AFD"/>
    <w:rsid w:val="00EA4CB0"/>
    <w:rsid w:val="00EA5503"/>
    <w:rsid w:val="00EA5A84"/>
    <w:rsid w:val="00EA74D1"/>
    <w:rsid w:val="00EB066A"/>
    <w:rsid w:val="00EB0CC2"/>
    <w:rsid w:val="00EB0E14"/>
    <w:rsid w:val="00EB1B84"/>
    <w:rsid w:val="00EB2680"/>
    <w:rsid w:val="00EB3F88"/>
    <w:rsid w:val="00EB6CCE"/>
    <w:rsid w:val="00EB745A"/>
    <w:rsid w:val="00EC040E"/>
    <w:rsid w:val="00EC0B8A"/>
    <w:rsid w:val="00EC1D4F"/>
    <w:rsid w:val="00EC2FD3"/>
    <w:rsid w:val="00EC562A"/>
    <w:rsid w:val="00EC5D34"/>
    <w:rsid w:val="00EC64EF"/>
    <w:rsid w:val="00EC6804"/>
    <w:rsid w:val="00EC68B7"/>
    <w:rsid w:val="00EC7910"/>
    <w:rsid w:val="00ED034A"/>
    <w:rsid w:val="00ED0352"/>
    <w:rsid w:val="00ED0434"/>
    <w:rsid w:val="00ED05A8"/>
    <w:rsid w:val="00ED10CA"/>
    <w:rsid w:val="00ED2265"/>
    <w:rsid w:val="00ED2ADA"/>
    <w:rsid w:val="00ED2B73"/>
    <w:rsid w:val="00ED3650"/>
    <w:rsid w:val="00ED574D"/>
    <w:rsid w:val="00ED6360"/>
    <w:rsid w:val="00ED6D0C"/>
    <w:rsid w:val="00ED6DDD"/>
    <w:rsid w:val="00ED7D52"/>
    <w:rsid w:val="00EE175B"/>
    <w:rsid w:val="00EE2161"/>
    <w:rsid w:val="00EE222C"/>
    <w:rsid w:val="00EE2713"/>
    <w:rsid w:val="00EE31E3"/>
    <w:rsid w:val="00EE39B2"/>
    <w:rsid w:val="00EE41C8"/>
    <w:rsid w:val="00EE49B3"/>
    <w:rsid w:val="00EE4C99"/>
    <w:rsid w:val="00EE5A8F"/>
    <w:rsid w:val="00EE6CFF"/>
    <w:rsid w:val="00EE6D20"/>
    <w:rsid w:val="00EE758F"/>
    <w:rsid w:val="00EE7B63"/>
    <w:rsid w:val="00EE7F63"/>
    <w:rsid w:val="00EF0A16"/>
    <w:rsid w:val="00EF0C5D"/>
    <w:rsid w:val="00EF124D"/>
    <w:rsid w:val="00EF13F2"/>
    <w:rsid w:val="00EF151F"/>
    <w:rsid w:val="00EF43F8"/>
    <w:rsid w:val="00EF5E5D"/>
    <w:rsid w:val="00F002EC"/>
    <w:rsid w:val="00F00E86"/>
    <w:rsid w:val="00F0115E"/>
    <w:rsid w:val="00F011CD"/>
    <w:rsid w:val="00F0126F"/>
    <w:rsid w:val="00F01A3F"/>
    <w:rsid w:val="00F036C9"/>
    <w:rsid w:val="00F03D0C"/>
    <w:rsid w:val="00F04042"/>
    <w:rsid w:val="00F05008"/>
    <w:rsid w:val="00F06711"/>
    <w:rsid w:val="00F0671B"/>
    <w:rsid w:val="00F10091"/>
    <w:rsid w:val="00F1042C"/>
    <w:rsid w:val="00F10799"/>
    <w:rsid w:val="00F11B0D"/>
    <w:rsid w:val="00F11C01"/>
    <w:rsid w:val="00F127F5"/>
    <w:rsid w:val="00F12CAB"/>
    <w:rsid w:val="00F13843"/>
    <w:rsid w:val="00F1474A"/>
    <w:rsid w:val="00F17124"/>
    <w:rsid w:val="00F17F82"/>
    <w:rsid w:val="00F20115"/>
    <w:rsid w:val="00F212AB"/>
    <w:rsid w:val="00F21DF3"/>
    <w:rsid w:val="00F22A94"/>
    <w:rsid w:val="00F24F05"/>
    <w:rsid w:val="00F26650"/>
    <w:rsid w:val="00F27824"/>
    <w:rsid w:val="00F30B57"/>
    <w:rsid w:val="00F30BCB"/>
    <w:rsid w:val="00F319A3"/>
    <w:rsid w:val="00F32249"/>
    <w:rsid w:val="00F32282"/>
    <w:rsid w:val="00F32B51"/>
    <w:rsid w:val="00F344BB"/>
    <w:rsid w:val="00F34A40"/>
    <w:rsid w:val="00F352B0"/>
    <w:rsid w:val="00F35E58"/>
    <w:rsid w:val="00F36781"/>
    <w:rsid w:val="00F40DFA"/>
    <w:rsid w:val="00F4141E"/>
    <w:rsid w:val="00F417D6"/>
    <w:rsid w:val="00F41BF5"/>
    <w:rsid w:val="00F44F31"/>
    <w:rsid w:val="00F46B61"/>
    <w:rsid w:val="00F50BB2"/>
    <w:rsid w:val="00F50C21"/>
    <w:rsid w:val="00F52504"/>
    <w:rsid w:val="00F5336F"/>
    <w:rsid w:val="00F55D84"/>
    <w:rsid w:val="00F5630A"/>
    <w:rsid w:val="00F57ABC"/>
    <w:rsid w:val="00F6083C"/>
    <w:rsid w:val="00F60EA4"/>
    <w:rsid w:val="00F61614"/>
    <w:rsid w:val="00F61F2B"/>
    <w:rsid w:val="00F62626"/>
    <w:rsid w:val="00F62D63"/>
    <w:rsid w:val="00F64FEB"/>
    <w:rsid w:val="00F6581D"/>
    <w:rsid w:val="00F65AB0"/>
    <w:rsid w:val="00F7104C"/>
    <w:rsid w:val="00F71B43"/>
    <w:rsid w:val="00F71B68"/>
    <w:rsid w:val="00F7282B"/>
    <w:rsid w:val="00F72ACB"/>
    <w:rsid w:val="00F72F31"/>
    <w:rsid w:val="00F74113"/>
    <w:rsid w:val="00F74E32"/>
    <w:rsid w:val="00F77935"/>
    <w:rsid w:val="00F77C6F"/>
    <w:rsid w:val="00F827E6"/>
    <w:rsid w:val="00F82A29"/>
    <w:rsid w:val="00F845C4"/>
    <w:rsid w:val="00F85F7C"/>
    <w:rsid w:val="00F86402"/>
    <w:rsid w:val="00F8677E"/>
    <w:rsid w:val="00F870F4"/>
    <w:rsid w:val="00F911D8"/>
    <w:rsid w:val="00F91702"/>
    <w:rsid w:val="00F91B92"/>
    <w:rsid w:val="00F93C33"/>
    <w:rsid w:val="00F93DCC"/>
    <w:rsid w:val="00F948EE"/>
    <w:rsid w:val="00FA1E9F"/>
    <w:rsid w:val="00FA409D"/>
    <w:rsid w:val="00FA5086"/>
    <w:rsid w:val="00FA60FF"/>
    <w:rsid w:val="00FB07F1"/>
    <w:rsid w:val="00FB1947"/>
    <w:rsid w:val="00FB194D"/>
    <w:rsid w:val="00FB1C3F"/>
    <w:rsid w:val="00FB28B8"/>
    <w:rsid w:val="00FB2A2F"/>
    <w:rsid w:val="00FB3234"/>
    <w:rsid w:val="00FB3938"/>
    <w:rsid w:val="00FB3ACF"/>
    <w:rsid w:val="00FB4DF5"/>
    <w:rsid w:val="00FB590E"/>
    <w:rsid w:val="00FB71F1"/>
    <w:rsid w:val="00FC0D32"/>
    <w:rsid w:val="00FC3873"/>
    <w:rsid w:val="00FC665F"/>
    <w:rsid w:val="00FC72C8"/>
    <w:rsid w:val="00FC775E"/>
    <w:rsid w:val="00FC7BB5"/>
    <w:rsid w:val="00FD02FA"/>
    <w:rsid w:val="00FD0A77"/>
    <w:rsid w:val="00FD2574"/>
    <w:rsid w:val="00FD4C5A"/>
    <w:rsid w:val="00FD50C5"/>
    <w:rsid w:val="00FD549D"/>
    <w:rsid w:val="00FD55D7"/>
    <w:rsid w:val="00FD61BD"/>
    <w:rsid w:val="00FD6564"/>
    <w:rsid w:val="00FD6DC5"/>
    <w:rsid w:val="00FD73CD"/>
    <w:rsid w:val="00FD77C9"/>
    <w:rsid w:val="00FE19E9"/>
    <w:rsid w:val="00FE4F6C"/>
    <w:rsid w:val="00FE56B2"/>
    <w:rsid w:val="00FE5C20"/>
    <w:rsid w:val="00FE6299"/>
    <w:rsid w:val="00FF0647"/>
    <w:rsid w:val="00FF0721"/>
    <w:rsid w:val="00FF072F"/>
    <w:rsid w:val="00FF34E2"/>
    <w:rsid w:val="00FF353D"/>
    <w:rsid w:val="00FF3FD2"/>
    <w:rsid w:val="00FF477B"/>
    <w:rsid w:val="00FF4A65"/>
    <w:rsid w:val="00FF6CA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7208D2"/>
  <w15:docId w15:val="{7F37D360-9087-1645-8670-9744C69D2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0"/>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401"/>
    <w:pPr>
      <w:spacing w:after="0"/>
    </w:pPr>
    <w:rPr>
      <w:color w:val="1C2334"/>
      <w:sz w:val="21"/>
      <w:lang w:val="en-NZ"/>
    </w:rPr>
  </w:style>
  <w:style w:type="paragraph" w:styleId="Heading1">
    <w:name w:val="heading 1"/>
    <w:basedOn w:val="Normal"/>
    <w:next w:val="Normal"/>
    <w:link w:val="Heading1Char"/>
    <w:uiPriority w:val="9"/>
    <w:qFormat/>
    <w:rsid w:val="00AA7401"/>
    <w:pPr>
      <w:keepNext/>
      <w:keepLines/>
      <w:spacing w:after="360" w:line="240" w:lineRule="auto"/>
      <w:outlineLvl w:val="0"/>
    </w:pPr>
    <w:rPr>
      <w:rFonts w:ascii="Bierstadt" w:eastAsiaTheme="majorEastAsia" w:hAnsi="Bierstadt" w:cstheme="majorBidi"/>
      <w:sz w:val="48"/>
      <w:szCs w:val="44"/>
    </w:rPr>
  </w:style>
  <w:style w:type="paragraph" w:styleId="Heading2">
    <w:name w:val="heading 2"/>
    <w:basedOn w:val="Normal"/>
    <w:next w:val="Normal"/>
    <w:link w:val="Heading2Char"/>
    <w:uiPriority w:val="9"/>
    <w:unhideWhenUsed/>
    <w:qFormat/>
    <w:rsid w:val="00AA7401"/>
    <w:pPr>
      <w:keepNext/>
      <w:keepLines/>
      <w:spacing w:before="480" w:after="240" w:line="240" w:lineRule="auto"/>
      <w:outlineLvl w:val="1"/>
    </w:pPr>
    <w:rPr>
      <w:rFonts w:ascii="Bierstadt" w:eastAsiaTheme="majorEastAsia" w:hAnsi="Bierstadt" w:cstheme="majorBidi"/>
      <w:b/>
      <w:bCs/>
      <w:color w:val="7F7F7F" w:themeColor="text1" w:themeTint="80"/>
      <w:sz w:val="28"/>
      <w:szCs w:val="26"/>
    </w:rPr>
  </w:style>
  <w:style w:type="paragraph" w:styleId="Heading3">
    <w:name w:val="heading 3"/>
    <w:basedOn w:val="Normal"/>
    <w:next w:val="Normal"/>
    <w:link w:val="Heading3Char"/>
    <w:uiPriority w:val="9"/>
    <w:unhideWhenUsed/>
    <w:qFormat/>
    <w:rsid w:val="002018FD"/>
    <w:pPr>
      <w:keepNext/>
      <w:keepLines/>
      <w:spacing w:before="360" w:after="240" w:line="240" w:lineRule="auto"/>
      <w:outlineLvl w:val="2"/>
    </w:pPr>
    <w:rPr>
      <w:rFonts w:ascii="Bierstadt" w:eastAsiaTheme="majorEastAsia" w:hAnsi="Bierstadt" w:cstheme="majorBidi"/>
      <w:b/>
      <w:bCs/>
      <w:sz w:val="22"/>
    </w:rPr>
  </w:style>
  <w:style w:type="paragraph" w:styleId="Heading4">
    <w:name w:val="heading 4"/>
    <w:basedOn w:val="Normal"/>
    <w:next w:val="Normal"/>
    <w:link w:val="Heading4Char"/>
    <w:uiPriority w:val="9"/>
    <w:unhideWhenUsed/>
    <w:qFormat/>
    <w:rsid w:val="00986883"/>
    <w:pPr>
      <w:keepNext/>
      <w:keepLines/>
      <w:spacing w:before="240" w:after="240" w:line="240" w:lineRule="auto"/>
      <w:outlineLvl w:val="3"/>
    </w:pPr>
    <w:rPr>
      <w:rFonts w:eastAsiaTheme="majorEastAsia" w:cstheme="majorBidi"/>
      <w:b/>
      <w:bCs/>
      <w:i/>
      <w:iCs/>
    </w:rPr>
  </w:style>
  <w:style w:type="paragraph" w:styleId="Heading5">
    <w:name w:val="heading 5"/>
    <w:basedOn w:val="Normal"/>
    <w:next w:val="Normal"/>
    <w:link w:val="Heading5Char"/>
    <w:uiPriority w:val="9"/>
    <w:rsid w:val="00272BA4"/>
    <w:pPr>
      <w:keepNext/>
      <w:keepLines/>
      <w:spacing w:before="200" w:line="240" w:lineRule="auto"/>
      <w:outlineLvl w:val="4"/>
    </w:pPr>
    <w:rPr>
      <w:rFonts w:ascii="Cambria" w:eastAsia="Times New Roman" w:hAnsi="Cambria" w:cs="Times New Roman"/>
      <w:b/>
      <w:i/>
    </w:rPr>
  </w:style>
  <w:style w:type="paragraph" w:styleId="Heading6">
    <w:name w:val="heading 6"/>
    <w:basedOn w:val="Normal"/>
    <w:next w:val="Normal"/>
    <w:link w:val="Heading6Char"/>
    <w:uiPriority w:val="9"/>
    <w:unhideWhenUsed/>
    <w:rsid w:val="00FF0721"/>
    <w:pPr>
      <w:keepNext/>
      <w:keepLines/>
      <w:spacing w:before="200" w:line="288" w:lineRule="auto"/>
      <w:outlineLvl w:val="5"/>
    </w:pPr>
    <w:rPr>
      <w:rFonts w:asciiTheme="majorHAnsi" w:eastAsiaTheme="majorEastAsia" w:hAnsiTheme="majorHAnsi" w:cstheme="majorBidi"/>
      <w:i/>
      <w:iCs/>
      <w:color w:val="243F60" w:themeColor="accent1" w:themeShade="7F"/>
      <w:sz w:val="22"/>
    </w:rPr>
  </w:style>
  <w:style w:type="paragraph" w:styleId="Heading7">
    <w:name w:val="heading 7"/>
    <w:basedOn w:val="Normal"/>
    <w:next w:val="Normal"/>
    <w:link w:val="Heading7Char"/>
    <w:uiPriority w:val="9"/>
    <w:unhideWhenUsed/>
    <w:rsid w:val="001F4D72"/>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unhideWhenUsed/>
    <w:rsid w:val="00272BA4"/>
    <w:pPr>
      <w:keepNext/>
      <w:keepLines/>
      <w:spacing w:before="200" w:line="240"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401"/>
    <w:rPr>
      <w:rFonts w:ascii="Bierstadt" w:eastAsiaTheme="majorEastAsia" w:hAnsi="Bierstadt" w:cstheme="majorBidi"/>
      <w:sz w:val="48"/>
      <w:szCs w:val="44"/>
      <w:lang w:val="en-NZ"/>
    </w:rPr>
  </w:style>
  <w:style w:type="character" w:customStyle="1" w:styleId="Heading2Char">
    <w:name w:val="Heading 2 Char"/>
    <w:basedOn w:val="DefaultParagraphFont"/>
    <w:link w:val="Heading2"/>
    <w:uiPriority w:val="9"/>
    <w:rsid w:val="00AA7401"/>
    <w:rPr>
      <w:rFonts w:ascii="Bierstadt" w:eastAsiaTheme="majorEastAsia" w:hAnsi="Bierstadt" w:cstheme="majorBidi"/>
      <w:b/>
      <w:bCs/>
      <w:color w:val="7F7F7F" w:themeColor="text1" w:themeTint="80"/>
      <w:sz w:val="28"/>
      <w:szCs w:val="26"/>
      <w:lang w:val="en-NZ"/>
    </w:rPr>
  </w:style>
  <w:style w:type="character" w:customStyle="1" w:styleId="Heading3Char">
    <w:name w:val="Heading 3 Char"/>
    <w:basedOn w:val="DefaultParagraphFont"/>
    <w:link w:val="Heading3"/>
    <w:uiPriority w:val="9"/>
    <w:rsid w:val="002018FD"/>
    <w:rPr>
      <w:rFonts w:ascii="Bierstadt" w:eastAsiaTheme="majorEastAsia" w:hAnsi="Bierstadt" w:cstheme="majorBidi"/>
      <w:b/>
      <w:bCs/>
      <w:color w:val="1C2334"/>
      <w:lang w:val="en-NZ"/>
    </w:rPr>
  </w:style>
  <w:style w:type="character" w:customStyle="1" w:styleId="Heading4Char">
    <w:name w:val="Heading 4 Char"/>
    <w:basedOn w:val="DefaultParagraphFont"/>
    <w:link w:val="Heading4"/>
    <w:uiPriority w:val="9"/>
    <w:rsid w:val="00986883"/>
    <w:rPr>
      <w:rFonts w:eastAsiaTheme="majorEastAsia" w:cstheme="majorBidi"/>
      <w:b/>
      <w:bCs/>
      <w:i/>
      <w:iCs/>
      <w:sz w:val="21"/>
      <w:lang w:val="en-NZ"/>
    </w:rPr>
  </w:style>
  <w:style w:type="character" w:customStyle="1" w:styleId="Heading5Char">
    <w:name w:val="Heading 5 Char"/>
    <w:basedOn w:val="DefaultParagraphFont"/>
    <w:link w:val="Heading5"/>
    <w:uiPriority w:val="9"/>
    <w:rsid w:val="00272BA4"/>
    <w:rPr>
      <w:rFonts w:ascii="Cambria" w:eastAsia="Times New Roman" w:hAnsi="Cambria" w:cs="Times New Roman"/>
      <w:b/>
      <w:i/>
      <w:sz w:val="21"/>
      <w:lang w:val="en-NZ"/>
    </w:rPr>
  </w:style>
  <w:style w:type="character" w:customStyle="1" w:styleId="Heading9Char">
    <w:name w:val="Heading 9 Char"/>
    <w:basedOn w:val="DefaultParagraphFont"/>
    <w:link w:val="Heading9"/>
    <w:uiPriority w:val="9"/>
    <w:semiHidden/>
    <w:rsid w:val="00272BA4"/>
    <w:rPr>
      <w:rFonts w:ascii="Cambria" w:eastAsia="Times New Roman" w:hAnsi="Cambria" w:cs="Times New Roman"/>
      <w:i/>
      <w:iCs/>
      <w:color w:val="404040"/>
      <w:sz w:val="20"/>
      <w:szCs w:val="20"/>
      <w:lang w:val="en-NZ"/>
    </w:rPr>
  </w:style>
  <w:style w:type="paragraph" w:styleId="Header">
    <w:name w:val="header"/>
    <w:basedOn w:val="Normal"/>
    <w:link w:val="HeaderChar"/>
    <w:uiPriority w:val="99"/>
    <w:unhideWhenUsed/>
    <w:rsid w:val="00DA6B36"/>
    <w:pPr>
      <w:tabs>
        <w:tab w:val="center" w:pos="4513"/>
        <w:tab w:val="right" w:pos="9026"/>
      </w:tabs>
      <w:spacing w:line="240" w:lineRule="auto"/>
    </w:pPr>
  </w:style>
  <w:style w:type="character" w:customStyle="1" w:styleId="HeaderChar">
    <w:name w:val="Header Char"/>
    <w:basedOn w:val="DefaultParagraphFont"/>
    <w:link w:val="Header"/>
    <w:uiPriority w:val="99"/>
    <w:rsid w:val="00DA6B36"/>
    <w:rPr>
      <w:lang w:val="en-NZ"/>
    </w:rPr>
  </w:style>
  <w:style w:type="paragraph" w:styleId="Footer">
    <w:name w:val="footer"/>
    <w:basedOn w:val="Normal"/>
    <w:link w:val="FooterChar"/>
    <w:uiPriority w:val="99"/>
    <w:unhideWhenUsed/>
    <w:rsid w:val="00DA6B36"/>
    <w:pPr>
      <w:tabs>
        <w:tab w:val="center" w:pos="4513"/>
        <w:tab w:val="right" w:pos="9026"/>
      </w:tabs>
      <w:spacing w:line="240" w:lineRule="auto"/>
    </w:pPr>
  </w:style>
  <w:style w:type="character" w:customStyle="1" w:styleId="FooterChar">
    <w:name w:val="Footer Char"/>
    <w:basedOn w:val="DefaultParagraphFont"/>
    <w:link w:val="Footer"/>
    <w:uiPriority w:val="99"/>
    <w:rsid w:val="00DA6B36"/>
    <w:rPr>
      <w:lang w:val="en-NZ"/>
    </w:rPr>
  </w:style>
  <w:style w:type="paragraph" w:styleId="BalloonText">
    <w:name w:val="Balloon Text"/>
    <w:basedOn w:val="Normal"/>
    <w:link w:val="BalloonTextChar"/>
    <w:uiPriority w:val="99"/>
    <w:semiHidden/>
    <w:unhideWhenUsed/>
    <w:rsid w:val="00DA6B3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6B36"/>
    <w:rPr>
      <w:rFonts w:ascii="Tahoma" w:hAnsi="Tahoma" w:cs="Tahoma"/>
      <w:sz w:val="16"/>
      <w:szCs w:val="16"/>
      <w:lang w:val="en-NZ"/>
    </w:rPr>
  </w:style>
  <w:style w:type="paragraph" w:styleId="Title">
    <w:name w:val="Title"/>
    <w:basedOn w:val="Normal"/>
    <w:next w:val="Normal"/>
    <w:link w:val="TitleChar"/>
    <w:uiPriority w:val="10"/>
    <w:rsid w:val="00986883"/>
    <w:pPr>
      <w:spacing w:line="240" w:lineRule="auto"/>
      <w:contextualSpacing/>
      <w:jc w:val="right"/>
    </w:pPr>
    <w:rPr>
      <w:rFonts w:ascii="Calibri" w:eastAsiaTheme="majorEastAsia" w:hAnsi="Calibri" w:cstheme="majorBidi"/>
      <w:caps/>
      <w:color w:val="7F7F7F" w:themeColor="text1" w:themeTint="80"/>
      <w:spacing w:val="5"/>
      <w:kern w:val="28"/>
      <w:sz w:val="52"/>
      <w:szCs w:val="52"/>
    </w:rPr>
  </w:style>
  <w:style w:type="character" w:customStyle="1" w:styleId="TitleChar">
    <w:name w:val="Title Char"/>
    <w:basedOn w:val="DefaultParagraphFont"/>
    <w:link w:val="Title"/>
    <w:uiPriority w:val="10"/>
    <w:rsid w:val="00986883"/>
    <w:rPr>
      <w:rFonts w:ascii="Calibri" w:eastAsiaTheme="majorEastAsia" w:hAnsi="Calibri" w:cstheme="majorBidi"/>
      <w:caps/>
      <w:color w:val="7F7F7F" w:themeColor="text1" w:themeTint="80"/>
      <w:spacing w:val="5"/>
      <w:kern w:val="28"/>
      <w:sz w:val="52"/>
      <w:szCs w:val="52"/>
      <w:lang w:val="en-NZ"/>
    </w:rPr>
  </w:style>
  <w:style w:type="paragraph" w:styleId="Quote">
    <w:name w:val="Quote"/>
    <w:basedOn w:val="Normal"/>
    <w:next w:val="Normal"/>
    <w:link w:val="QuoteChar"/>
    <w:uiPriority w:val="29"/>
    <w:qFormat/>
    <w:rsid w:val="00300C4C"/>
    <w:pPr>
      <w:spacing w:line="288" w:lineRule="auto"/>
      <w:ind w:left="567" w:right="567"/>
    </w:pPr>
    <w:rPr>
      <w:i/>
      <w:iCs/>
      <w:sz w:val="20"/>
    </w:rPr>
  </w:style>
  <w:style w:type="character" w:customStyle="1" w:styleId="QuoteChar">
    <w:name w:val="Quote Char"/>
    <w:basedOn w:val="DefaultParagraphFont"/>
    <w:link w:val="Quote"/>
    <w:uiPriority w:val="29"/>
    <w:rsid w:val="00300C4C"/>
    <w:rPr>
      <w:i/>
      <w:iCs/>
      <w:sz w:val="20"/>
      <w:lang w:val="en-NZ"/>
    </w:rPr>
  </w:style>
  <w:style w:type="paragraph" w:styleId="ListParagraph">
    <w:name w:val="List Paragraph"/>
    <w:basedOn w:val="Normal"/>
    <w:uiPriority w:val="34"/>
    <w:qFormat/>
    <w:rsid w:val="00F52504"/>
    <w:pPr>
      <w:numPr>
        <w:numId w:val="8"/>
      </w:numPr>
      <w:contextualSpacing/>
    </w:pPr>
    <w:rPr>
      <w:sz w:val="20"/>
      <w:szCs w:val="21"/>
      <w:lang w:val="en-GB"/>
    </w:rPr>
  </w:style>
  <w:style w:type="table" w:customStyle="1" w:styleId="LightShading1">
    <w:name w:val="Light Shading1"/>
    <w:basedOn w:val="TableNormal"/>
    <w:uiPriority w:val="60"/>
    <w:rsid w:val="00855FC1"/>
    <w:pPr>
      <w:spacing w:after="0" w:line="240" w:lineRule="auto"/>
    </w:pPr>
    <w:rPr>
      <w:color w:val="000000" w:themeColor="text1" w:themeShade="BF"/>
      <w:sz w:val="19"/>
    </w:rPr>
    <w:tblPr>
      <w:tblStyleRowBandSize w:val="1"/>
      <w:tblStyleColBandSize w:val="1"/>
      <w:tblBorders>
        <w:top w:val="single" w:sz="8" w:space="0" w:color="000000" w:themeColor="text1"/>
        <w:bottom w:val="single" w:sz="8" w:space="0" w:color="000000" w:themeColor="text1"/>
        <w:insideH w:val="dotted" w:sz="4" w:space="0" w:color="7F7F7F" w:themeColor="text1" w:themeTint="80"/>
        <w:insideV w:val="dotted" w:sz="4" w:space="0" w:color="7F7F7F" w:themeColor="text1" w:themeTint="80"/>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shd w:val="clear" w:color="auto" w:fill="F2F2F2" w:themeFill="background1" w:themeFillShade="F2"/>
      </w:tcPr>
    </w:tblStylePr>
  </w:style>
  <w:style w:type="character" w:styleId="Hyperlink">
    <w:name w:val="Hyperlink"/>
    <w:basedOn w:val="DefaultParagraphFont"/>
    <w:uiPriority w:val="99"/>
    <w:rsid w:val="00416B80"/>
    <w:rPr>
      <w:rFonts w:asciiTheme="minorHAnsi" w:hAnsiTheme="minorHAnsi"/>
      <w:color w:val="E84531"/>
      <w:sz w:val="21"/>
      <w:u w:val="none"/>
    </w:rPr>
  </w:style>
  <w:style w:type="paragraph" w:styleId="NormalWeb">
    <w:name w:val="Normal (Web)"/>
    <w:basedOn w:val="Normal"/>
    <w:link w:val="NormalWebChar"/>
    <w:uiPriority w:val="99"/>
    <w:rsid w:val="00272BA4"/>
    <w:pPr>
      <w:spacing w:before="100" w:beforeAutospacing="1" w:after="100" w:afterAutospacing="1" w:line="240" w:lineRule="auto"/>
    </w:pPr>
    <w:rPr>
      <w:rFonts w:ascii="Arial" w:eastAsia="Times New Roman" w:hAnsi="Arial" w:cs="Arial"/>
      <w:color w:val="000000"/>
      <w:sz w:val="20"/>
      <w:szCs w:val="20"/>
      <w:lang w:val="en-US"/>
    </w:rPr>
  </w:style>
  <w:style w:type="character" w:customStyle="1" w:styleId="NormalWebChar">
    <w:name w:val="Normal (Web) Char"/>
    <w:basedOn w:val="DefaultParagraphFont"/>
    <w:link w:val="NormalWeb"/>
    <w:uiPriority w:val="99"/>
    <w:rsid w:val="00272BA4"/>
    <w:rPr>
      <w:rFonts w:ascii="Arial" w:eastAsia="Times New Roman" w:hAnsi="Arial" w:cs="Arial"/>
      <w:color w:val="000000"/>
      <w:sz w:val="20"/>
      <w:szCs w:val="20"/>
      <w:lang w:val="en-US"/>
    </w:rPr>
  </w:style>
  <w:style w:type="character" w:customStyle="1" w:styleId="bodytext1">
    <w:name w:val="bodytext1"/>
    <w:basedOn w:val="DefaultParagraphFont"/>
    <w:rsid w:val="00272BA4"/>
    <w:rPr>
      <w:rFonts w:ascii="Verdana" w:hAnsi="Verdana" w:cs="Arial" w:hint="default"/>
      <w:color w:val="333333"/>
      <w:sz w:val="16"/>
      <w:szCs w:val="16"/>
    </w:rPr>
  </w:style>
  <w:style w:type="table" w:styleId="TableGrid">
    <w:name w:val="Table Grid"/>
    <w:aliases w:val="Header table,TB Table,#Table Grid"/>
    <w:basedOn w:val="TableNormal"/>
    <w:rsid w:val="00855FC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pPr>
        <w:wordWrap/>
        <w:spacing w:beforeLines="0" w:beforeAutospacing="0" w:afterLines="0" w:afterAutospacing="0"/>
      </w:pPr>
    </w:tblStylePr>
  </w:style>
  <w:style w:type="paragraph" w:styleId="FootnoteText">
    <w:name w:val="footnote text"/>
    <w:basedOn w:val="Normal"/>
    <w:link w:val="FootnoteTextChar"/>
    <w:uiPriority w:val="99"/>
    <w:unhideWhenUsed/>
    <w:rsid w:val="00272BA4"/>
    <w:pPr>
      <w:spacing w:line="240" w:lineRule="auto"/>
    </w:pPr>
    <w:rPr>
      <w:i/>
      <w:color w:val="404040" w:themeColor="text1" w:themeTint="BF"/>
      <w:sz w:val="20"/>
      <w:szCs w:val="20"/>
    </w:rPr>
  </w:style>
  <w:style w:type="character" w:customStyle="1" w:styleId="FootnoteTextChar">
    <w:name w:val="Footnote Text Char"/>
    <w:basedOn w:val="DefaultParagraphFont"/>
    <w:link w:val="FootnoteText"/>
    <w:uiPriority w:val="99"/>
    <w:rsid w:val="00272BA4"/>
    <w:rPr>
      <w:i/>
      <w:color w:val="404040" w:themeColor="text1" w:themeTint="BF"/>
      <w:sz w:val="20"/>
      <w:szCs w:val="20"/>
      <w:lang w:val="en-NZ"/>
    </w:rPr>
  </w:style>
  <w:style w:type="character" w:styleId="FootnoteReference">
    <w:name w:val="footnote reference"/>
    <w:basedOn w:val="DefaultParagraphFont"/>
    <w:uiPriority w:val="99"/>
    <w:unhideWhenUsed/>
    <w:rsid w:val="00272BA4"/>
    <w:rPr>
      <w:vertAlign w:val="superscript"/>
    </w:rPr>
  </w:style>
  <w:style w:type="character" w:styleId="SubtleEmphasis">
    <w:name w:val="Subtle Emphasis"/>
    <w:basedOn w:val="DefaultParagraphFont"/>
    <w:uiPriority w:val="19"/>
    <w:rsid w:val="00272BA4"/>
    <w:rPr>
      <w:i/>
      <w:iCs/>
      <w:color w:val="404040" w:themeColor="text1" w:themeTint="BF"/>
    </w:rPr>
  </w:style>
  <w:style w:type="paragraph" w:customStyle="1" w:styleId="Default">
    <w:name w:val="Default"/>
    <w:rsid w:val="00272BA4"/>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table" w:styleId="TableContemporary">
    <w:name w:val="Table Contemporary"/>
    <w:aliases w:val="KS Table"/>
    <w:basedOn w:val="TableNormal"/>
    <w:rsid w:val="00EB0CC2"/>
    <w:pPr>
      <w:spacing w:after="0" w:line="264" w:lineRule="auto"/>
    </w:pPr>
    <w:rPr>
      <w:rFonts w:ascii="Calibri" w:eastAsia="Times New Roman" w:hAnsi="Calibri" w:cs="Times New Roman"/>
      <w:sz w:val="19"/>
      <w:szCs w:val="20"/>
      <w:lang w:val="en-US"/>
    </w:rPr>
    <w:tblPr>
      <w:tblStyleRowBandSize w:val="1"/>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7F7F7F" w:themeColor="text1" w:themeTint="80"/>
        <w:insideV w:val="dotted" w:sz="4" w:space="0" w:color="7F7F7F" w:themeColor="text1" w:themeTint="80"/>
      </w:tblBorders>
    </w:tblPr>
    <w:tblStylePr w:type="firstRow">
      <w:rPr>
        <w:b/>
        <w:bCs/>
        <w:color w:val="auto"/>
      </w:rPr>
      <w:tblPr/>
      <w:tcPr>
        <w:tcBorders>
          <w:top w:val="single" w:sz="4" w:space="0" w:color="auto"/>
          <w:left w:val="single" w:sz="4" w:space="0" w:color="BFBFBF" w:themeColor="background1" w:themeShade="BF"/>
          <w:bottom w:val="single" w:sz="4" w:space="0" w:color="auto"/>
          <w:right w:val="single" w:sz="4" w:space="0" w:color="BFBFBF" w:themeColor="background1" w:themeShade="BF"/>
          <w:insideH w:val="single" w:sz="4" w:space="0" w:color="BFBFBF" w:themeColor="background1" w:themeShade="BF"/>
          <w:insideV w:val="single" w:sz="4" w:space="0" w:color="BFBFBF" w:themeColor="background1" w:themeShade="BF"/>
        </w:tcBorders>
      </w:tcPr>
    </w:tblStylePr>
    <w:tblStylePr w:type="band1Horz">
      <w:rPr>
        <w:color w:val="auto"/>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2F2F2" w:themeFill="background1" w:themeFillShade="F2"/>
      </w:tcPr>
    </w:tblStylePr>
    <w:tblStylePr w:type="band2Horz">
      <w:rPr>
        <w:color w:val="auto"/>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tcPr>
    </w:tblStylePr>
  </w:style>
  <w:style w:type="character" w:styleId="Strong">
    <w:name w:val="Strong"/>
    <w:basedOn w:val="DefaultParagraphFont"/>
    <w:uiPriority w:val="22"/>
    <w:qFormat/>
    <w:rsid w:val="00272BA4"/>
    <w:rPr>
      <w:b/>
      <w:bCs/>
    </w:rPr>
  </w:style>
  <w:style w:type="table" w:customStyle="1" w:styleId="MediumShading21">
    <w:name w:val="Medium Shading 21"/>
    <w:basedOn w:val="TableNormal"/>
    <w:uiPriority w:val="64"/>
    <w:rsid w:val="00272BA4"/>
    <w:pPr>
      <w:spacing w:after="0" w:line="240" w:lineRule="auto"/>
    </w:pPr>
    <w:rPr>
      <w:rFonts w:ascii="Calibri" w:eastAsia="Calibri" w:hAnsi="Calibri"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rFonts w:ascii="Calibri" w:hAnsi="Calibri"/>
        <w:b/>
        <w:bCs/>
        <w:i w:val="0"/>
        <w:color w:val="FFFFFF"/>
        <w:sz w:val="20"/>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rPr>
        <w:rFonts w:ascii="Calibri" w:hAnsi="Calibri"/>
        <w:b w:val="0"/>
        <w:i w:val="0"/>
        <w:sz w:val="20"/>
      </w:rPr>
      <w:tblPr/>
      <w:tcPr>
        <w:tcBorders>
          <w:top w:val="nil"/>
          <w:left w:val="nil"/>
          <w:bottom w:val="nil"/>
          <w:right w:val="nil"/>
          <w:insideH w:val="nil"/>
          <w:insideV w:val="nil"/>
          <w:tl2br w:val="nil"/>
          <w:tr2bl w:val="nil"/>
        </w:tcBorders>
        <w:shd w:val="clear" w:color="auto" w:fill="F2F2F2"/>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TOC1">
    <w:name w:val="toc 1"/>
    <w:basedOn w:val="Normal"/>
    <w:next w:val="Normal"/>
    <w:autoRedefine/>
    <w:uiPriority w:val="39"/>
    <w:unhideWhenUsed/>
    <w:rsid w:val="00565FFD"/>
    <w:pPr>
      <w:tabs>
        <w:tab w:val="right" w:leader="dot" w:pos="9061"/>
      </w:tabs>
      <w:spacing w:after="100" w:line="240" w:lineRule="auto"/>
    </w:pPr>
    <w:rPr>
      <w:rFonts w:eastAsia="Calibri" w:cstheme="minorHAnsi"/>
      <w:b/>
      <w:noProof/>
      <w:sz w:val="22"/>
      <w:szCs w:val="20"/>
    </w:rPr>
  </w:style>
  <w:style w:type="paragraph" w:styleId="TOC2">
    <w:name w:val="toc 2"/>
    <w:basedOn w:val="Normal"/>
    <w:next w:val="Normal"/>
    <w:autoRedefine/>
    <w:uiPriority w:val="39"/>
    <w:unhideWhenUsed/>
    <w:rsid w:val="000A7001"/>
    <w:pPr>
      <w:tabs>
        <w:tab w:val="right" w:leader="dot" w:pos="9344"/>
      </w:tabs>
      <w:spacing w:after="60" w:line="240" w:lineRule="auto"/>
      <w:ind w:left="221"/>
    </w:pPr>
    <w:rPr>
      <w:rFonts w:ascii="Calibri" w:eastAsia="Calibri" w:hAnsi="Calibri" w:cs="Times New Roman"/>
      <w:noProof/>
      <w:sz w:val="20"/>
    </w:rPr>
  </w:style>
  <w:style w:type="paragraph" w:styleId="TOC3">
    <w:name w:val="toc 3"/>
    <w:basedOn w:val="Normal"/>
    <w:next w:val="Normal"/>
    <w:autoRedefine/>
    <w:uiPriority w:val="39"/>
    <w:unhideWhenUsed/>
    <w:rsid w:val="00565FFD"/>
    <w:pPr>
      <w:tabs>
        <w:tab w:val="right" w:leader="dot" w:pos="9344"/>
      </w:tabs>
      <w:spacing w:after="60" w:line="240" w:lineRule="auto"/>
      <w:ind w:left="442"/>
    </w:pPr>
    <w:rPr>
      <w:rFonts w:ascii="Calibri" w:eastAsia="Calibri" w:hAnsi="Calibri" w:cs="Times New Roman"/>
      <w:noProof/>
      <w:sz w:val="20"/>
    </w:rPr>
  </w:style>
  <w:style w:type="character" w:customStyle="1" w:styleId="titletext1">
    <w:name w:val="titletext1"/>
    <w:basedOn w:val="DefaultParagraphFont"/>
    <w:rsid w:val="00272BA4"/>
    <w:rPr>
      <w:rFonts w:ascii="Verdana" w:hAnsi="Verdana" w:hint="default"/>
      <w:b/>
      <w:bCs/>
      <w:color w:val="333333"/>
      <w:sz w:val="18"/>
      <w:szCs w:val="18"/>
    </w:rPr>
  </w:style>
  <w:style w:type="paragraph" w:customStyle="1" w:styleId="base-text-paragraph">
    <w:name w:val="base-text-paragraph"/>
    <w:link w:val="base-text-paragraphChar"/>
    <w:rsid w:val="00272BA4"/>
    <w:pPr>
      <w:tabs>
        <w:tab w:val="left" w:pos="1987"/>
      </w:tabs>
      <w:spacing w:before="120" w:after="120" w:line="240" w:lineRule="auto"/>
      <w:ind w:left="1140"/>
    </w:pPr>
    <w:rPr>
      <w:rFonts w:ascii="Arial Narrow" w:eastAsia="SimSun" w:hAnsi="Arial Narrow" w:cs="Times New Roman"/>
      <w:szCs w:val="24"/>
      <w:lang w:eastAsia="en-AU"/>
    </w:rPr>
  </w:style>
  <w:style w:type="character" w:customStyle="1" w:styleId="base-text-paragraphChar">
    <w:name w:val="base-text-paragraph Char"/>
    <w:basedOn w:val="DefaultParagraphFont"/>
    <w:link w:val="base-text-paragraph"/>
    <w:rsid w:val="00272BA4"/>
    <w:rPr>
      <w:rFonts w:ascii="Arial Narrow" w:eastAsia="SimSun" w:hAnsi="Arial Narrow" w:cs="Times New Roman"/>
      <w:szCs w:val="24"/>
      <w:lang w:eastAsia="en-AU"/>
    </w:rPr>
  </w:style>
  <w:style w:type="paragraph" w:customStyle="1" w:styleId="base-text-paragraphnonumbers">
    <w:name w:val="base-text-paragraph no numbers"/>
    <w:basedOn w:val="Normal"/>
    <w:rsid w:val="00272BA4"/>
    <w:pPr>
      <w:spacing w:before="120" w:after="120" w:line="240" w:lineRule="auto"/>
      <w:ind w:left="1134"/>
    </w:pPr>
    <w:rPr>
      <w:rFonts w:ascii="Times New Roman" w:eastAsia="Times New Roman" w:hAnsi="Times New Roman" w:cs="Times New Roman"/>
      <w:szCs w:val="20"/>
      <w:lang w:val="en-AU" w:eastAsia="en-AU"/>
    </w:rPr>
  </w:style>
  <w:style w:type="paragraph" w:customStyle="1" w:styleId="dotpoint">
    <w:name w:val="dot point"/>
    <w:basedOn w:val="Normal"/>
    <w:link w:val="dotpointChar"/>
    <w:rsid w:val="00272BA4"/>
    <w:pPr>
      <w:numPr>
        <w:numId w:val="1"/>
      </w:numPr>
      <w:spacing w:before="120" w:after="120" w:line="240" w:lineRule="auto"/>
    </w:pPr>
    <w:rPr>
      <w:rFonts w:ascii="Times New Roman" w:eastAsia="Times New Roman" w:hAnsi="Times New Roman" w:cs="Times New Roman"/>
      <w:szCs w:val="20"/>
      <w:lang w:val="en-AU" w:eastAsia="en-AU"/>
    </w:rPr>
  </w:style>
  <w:style w:type="character" w:customStyle="1" w:styleId="dotpointChar">
    <w:name w:val="dot point Char"/>
    <w:basedOn w:val="DefaultParagraphFont"/>
    <w:link w:val="dotpoint"/>
    <w:rsid w:val="00272BA4"/>
    <w:rPr>
      <w:rFonts w:ascii="Times New Roman" w:eastAsia="Times New Roman" w:hAnsi="Times New Roman" w:cs="Times New Roman"/>
      <w:sz w:val="21"/>
      <w:szCs w:val="20"/>
      <w:lang w:eastAsia="en-AU"/>
    </w:rPr>
  </w:style>
  <w:style w:type="paragraph" w:customStyle="1" w:styleId="dotpoint2">
    <w:name w:val="dot point 2"/>
    <w:basedOn w:val="Normal"/>
    <w:rsid w:val="00272BA4"/>
    <w:pPr>
      <w:numPr>
        <w:ilvl w:val="1"/>
        <w:numId w:val="1"/>
      </w:numPr>
      <w:spacing w:before="120" w:after="120" w:line="240" w:lineRule="auto"/>
    </w:pPr>
    <w:rPr>
      <w:rFonts w:ascii="Times New Roman" w:eastAsia="Times New Roman" w:hAnsi="Times New Roman" w:cs="Times New Roman"/>
      <w:szCs w:val="20"/>
      <w:lang w:val="en-AU" w:eastAsia="en-AU"/>
    </w:rPr>
  </w:style>
  <w:style w:type="paragraph" w:customStyle="1" w:styleId="Heading2with18pointafter">
    <w:name w:val="Heading 2 with 18 point after"/>
    <w:basedOn w:val="Heading2"/>
    <w:next w:val="Normal"/>
    <w:rsid w:val="00272BA4"/>
    <w:pPr>
      <w:keepLines w:val="0"/>
      <w:spacing w:after="360"/>
    </w:pPr>
    <w:rPr>
      <w:rFonts w:ascii="Helvetica" w:eastAsia="Times New Roman" w:hAnsi="Helvetica" w:cs="Times New Roman"/>
      <w:b w:val="0"/>
      <w:bCs w:val="0"/>
      <w:color w:val="auto"/>
      <w:sz w:val="26"/>
      <w:szCs w:val="20"/>
      <w:lang w:val="en-AU" w:eastAsia="en-AU"/>
    </w:rPr>
  </w:style>
  <w:style w:type="paragraph" w:customStyle="1" w:styleId="tabletext">
    <w:name w:val="table text"/>
    <w:basedOn w:val="Normal"/>
    <w:rsid w:val="00272BA4"/>
    <w:pPr>
      <w:spacing w:before="40" w:after="40" w:line="240" w:lineRule="auto"/>
    </w:pPr>
    <w:rPr>
      <w:rFonts w:ascii="Times New Roman" w:eastAsia="Times New Roman" w:hAnsi="Times New Roman" w:cs="Times New Roman"/>
      <w:sz w:val="20"/>
      <w:szCs w:val="20"/>
      <w:lang w:val="en-AU" w:eastAsia="en-AU"/>
    </w:rPr>
  </w:style>
  <w:style w:type="paragraph" w:customStyle="1" w:styleId="tableheaderwithintable">
    <w:name w:val="table header (within table)"/>
    <w:basedOn w:val="Heading4"/>
    <w:rsid w:val="00272BA4"/>
    <w:pPr>
      <w:keepLines w:val="0"/>
      <w:spacing w:before="60" w:after="60"/>
      <w:jc w:val="center"/>
    </w:pPr>
    <w:rPr>
      <w:rFonts w:ascii="Times New Roman" w:eastAsia="Times New Roman" w:hAnsi="Times New Roman" w:cs="Times New Roman"/>
      <w:bCs w:val="0"/>
      <w:iCs w:val="0"/>
      <w:color w:val="404040" w:themeColor="text1" w:themeTint="BF"/>
      <w:sz w:val="20"/>
      <w:szCs w:val="20"/>
      <w:lang w:val="en-AU" w:eastAsia="en-AU"/>
    </w:rPr>
  </w:style>
  <w:style w:type="paragraph" w:customStyle="1" w:styleId="exampletext">
    <w:name w:val="example text"/>
    <w:basedOn w:val="Normal"/>
    <w:rsid w:val="00272BA4"/>
    <w:pPr>
      <w:spacing w:before="120" w:after="120" w:line="240" w:lineRule="auto"/>
      <w:ind w:left="1985"/>
    </w:pPr>
    <w:rPr>
      <w:rFonts w:ascii="Times New Roman" w:eastAsia="Times New Roman" w:hAnsi="Times New Roman" w:cs="Times New Roman"/>
      <w:sz w:val="20"/>
      <w:szCs w:val="20"/>
      <w:lang w:val="en-AU" w:eastAsia="en-AU"/>
    </w:rPr>
  </w:style>
  <w:style w:type="paragraph" w:customStyle="1" w:styleId="ExampleHeading">
    <w:name w:val="Example Heading"/>
    <w:basedOn w:val="Normal"/>
    <w:next w:val="exampletext"/>
    <w:link w:val="ExampleHeadingChar"/>
    <w:rsid w:val="00272BA4"/>
    <w:pPr>
      <w:keepNext/>
      <w:spacing w:before="120" w:after="120" w:line="240" w:lineRule="auto"/>
      <w:ind w:left="1440"/>
    </w:pPr>
    <w:rPr>
      <w:rFonts w:ascii="Times New Roman" w:eastAsia="Times New Roman" w:hAnsi="Times New Roman" w:cs="Times New Roman"/>
      <w:b/>
      <w:szCs w:val="20"/>
      <w:lang w:val="en-AU" w:eastAsia="en-AU"/>
    </w:rPr>
  </w:style>
  <w:style w:type="character" w:customStyle="1" w:styleId="ExampleHeadingChar">
    <w:name w:val="Example Heading Char"/>
    <w:basedOn w:val="DefaultParagraphFont"/>
    <w:link w:val="ExampleHeading"/>
    <w:rsid w:val="00272BA4"/>
    <w:rPr>
      <w:rFonts w:ascii="Times New Roman" w:eastAsia="Times New Roman" w:hAnsi="Times New Roman" w:cs="Times New Roman"/>
      <w:b/>
      <w:sz w:val="21"/>
      <w:szCs w:val="20"/>
      <w:lang w:eastAsia="en-AU"/>
    </w:rPr>
  </w:style>
  <w:style w:type="table" w:customStyle="1" w:styleId="MediumShading11">
    <w:name w:val="Medium Shading 11"/>
    <w:basedOn w:val="TableNormal"/>
    <w:uiPriority w:val="63"/>
    <w:rsid w:val="00272BA4"/>
    <w:pPr>
      <w:spacing w:after="0" w:line="240" w:lineRule="auto"/>
    </w:pPr>
    <w:rPr>
      <w:rFonts w:ascii="Calibri" w:eastAsia="Calibri" w:hAnsi="Calibri" w:cs="Times New Roman"/>
      <w:sz w:val="20"/>
      <w:szCs w:val="20"/>
      <w:lang w:val="en-US"/>
    </w:rPr>
    <w:tblPr>
      <w:tblStyleRowBandSize w:val="1"/>
      <w:tblStyleColBandSize w:val="1"/>
    </w:tblPr>
    <w:tblStylePr w:type="firstRow">
      <w:pPr>
        <w:spacing w:before="0" w:after="0" w:line="240" w:lineRule="auto"/>
      </w:pPr>
      <w:rPr>
        <w:b/>
        <w:bCs/>
        <w:color w:val="FFFFFF"/>
      </w:rPr>
      <w:tblPr/>
      <w:tcPr>
        <w:tcBorders>
          <w:top w:val="nil"/>
          <w:left w:val="nil"/>
          <w:bottom w:val="nil"/>
          <w:right w:val="nil"/>
          <w:insideH w:val="nil"/>
          <w:insideV w:val="nil"/>
          <w:tl2br w:val="nil"/>
          <w:tr2bl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top w:val="nil"/>
          <w:left w:val="nil"/>
          <w:bottom w:val="nil"/>
          <w:right w:val="nil"/>
          <w:insideH w:val="nil"/>
          <w:insideV w:val="nil"/>
          <w:tl2br w:val="nil"/>
          <w:tr2bl w:val="nil"/>
        </w:tcBorders>
        <w:shd w:val="clear" w:color="auto" w:fill="F2F2F2"/>
      </w:tcPr>
    </w:tblStylePr>
    <w:tblStylePr w:type="band2Horz">
      <w:tblPr/>
      <w:tcPr>
        <w:tcBorders>
          <w:insideH w:val="nil"/>
          <w:insideV w:val="nil"/>
        </w:tcBorders>
      </w:tcPr>
    </w:tblStylePr>
  </w:style>
  <w:style w:type="paragraph" w:styleId="BodyText3">
    <w:name w:val="Body Text 3"/>
    <w:basedOn w:val="Normal"/>
    <w:link w:val="BodyText3Char"/>
    <w:rsid w:val="00272BA4"/>
    <w:pPr>
      <w:spacing w:before="100" w:beforeAutospacing="1" w:after="100" w:afterAutospacing="1" w:line="240" w:lineRule="auto"/>
    </w:pPr>
    <w:rPr>
      <w:rFonts w:ascii="Times New Roman" w:eastAsia="Times New Roman" w:hAnsi="Times New Roman" w:cs="Times New Roman"/>
      <w:szCs w:val="24"/>
    </w:rPr>
  </w:style>
  <w:style w:type="character" w:customStyle="1" w:styleId="BodyText3Char">
    <w:name w:val="Body Text 3 Char"/>
    <w:basedOn w:val="DefaultParagraphFont"/>
    <w:link w:val="BodyText3"/>
    <w:rsid w:val="00272BA4"/>
    <w:rPr>
      <w:rFonts w:ascii="Times New Roman" w:eastAsia="Times New Roman" w:hAnsi="Times New Roman" w:cs="Times New Roman"/>
      <w:sz w:val="21"/>
      <w:szCs w:val="24"/>
      <w:lang w:val="en-NZ"/>
    </w:rPr>
  </w:style>
  <w:style w:type="table" w:customStyle="1" w:styleId="KSStyle">
    <w:name w:val="KS Style"/>
    <w:basedOn w:val="TableNormal"/>
    <w:uiPriority w:val="99"/>
    <w:qFormat/>
    <w:rsid w:val="00994A17"/>
    <w:pPr>
      <w:spacing w:after="0" w:line="240" w:lineRule="auto"/>
    </w:pPr>
    <w:rPr>
      <w:rFonts w:ascii="Calibri" w:eastAsia="Calibri" w:hAnsi="Calibri" w:cs="Times New Roman"/>
      <w:sz w:val="20"/>
      <w:szCs w:val="20"/>
      <w:lang w:val="en-US"/>
    </w:rPr>
    <w:tblPr>
      <w:tblStyleRowBandSize w:val="1"/>
      <w:tblBorders>
        <w:top w:val="single" w:sz="4" w:space="0" w:color="auto"/>
        <w:bottom w:val="single" w:sz="4" w:space="0" w:color="auto"/>
        <w:insideH w:val="dotted" w:sz="4" w:space="0" w:color="808080" w:themeColor="background1" w:themeShade="80"/>
        <w:insideV w:val="dotted" w:sz="4" w:space="0" w:color="808080" w:themeColor="background1" w:themeShade="80"/>
      </w:tblBorders>
    </w:tblPr>
    <w:tblStylePr w:type="firstRow">
      <w:rPr>
        <w:rFonts w:ascii="Calibri" w:hAnsi="Calibri"/>
        <w:b/>
        <w:i w:val="0"/>
        <w:color w:val="auto"/>
        <w:sz w:val="20"/>
      </w:rPr>
      <w:tblPr/>
      <w:tcPr>
        <w:tcBorders>
          <w:bottom w:val="single" w:sz="8" w:space="0" w:color="000000" w:themeColor="text1"/>
        </w:tcBorders>
      </w:tcPr>
    </w:tblStylePr>
    <w:tblStylePr w:type="band1Horz">
      <w:rPr>
        <w:rFonts w:ascii="Calibri" w:hAnsi="Calibri"/>
        <w:b w:val="0"/>
        <w:i w:val="0"/>
        <w:color w:val="auto"/>
        <w:sz w:val="20"/>
      </w:rPr>
      <w:tblPr/>
      <w:tcPr>
        <w:tcBorders>
          <w:top w:val="nil"/>
          <w:left w:val="nil"/>
          <w:bottom w:val="nil"/>
          <w:right w:val="nil"/>
          <w:insideH w:val="nil"/>
          <w:insideV w:val="nil"/>
          <w:tl2br w:val="nil"/>
          <w:tr2bl w:val="nil"/>
        </w:tcBorders>
        <w:shd w:val="clear" w:color="auto" w:fill="F2F2F2"/>
      </w:tcPr>
    </w:tblStylePr>
    <w:tblStylePr w:type="band2Horz">
      <w:rPr>
        <w:rFonts w:ascii="Calibri" w:hAnsi="Calibri"/>
        <w:b w:val="0"/>
        <w:i w:val="0"/>
        <w:color w:val="auto"/>
        <w:sz w:val="20"/>
      </w:rPr>
    </w:tblStylePr>
  </w:style>
  <w:style w:type="character" w:styleId="Emphasis">
    <w:name w:val="Emphasis"/>
    <w:basedOn w:val="DefaultParagraphFont"/>
    <w:uiPriority w:val="20"/>
    <w:rsid w:val="00272BA4"/>
    <w:rPr>
      <w:i/>
      <w:iCs/>
    </w:rPr>
  </w:style>
  <w:style w:type="paragraph" w:styleId="TOCHeading">
    <w:name w:val="TOC Heading"/>
    <w:basedOn w:val="Heading1"/>
    <w:next w:val="Normal"/>
    <w:uiPriority w:val="39"/>
    <w:rsid w:val="00D14A02"/>
    <w:pPr>
      <w:spacing w:after="0" w:line="276" w:lineRule="auto"/>
      <w:outlineLvl w:val="9"/>
    </w:pPr>
    <w:rPr>
      <w:rFonts w:ascii="Cambria" w:eastAsia="Times New Roman" w:hAnsi="Cambria" w:cs="Times New Roman"/>
      <w:b/>
      <w:caps/>
      <w:color w:val="365F91"/>
      <w:sz w:val="28"/>
      <w:lang w:val="en-US"/>
    </w:rPr>
  </w:style>
  <w:style w:type="character" w:customStyle="1" w:styleId="highlight">
    <w:name w:val="highlight"/>
    <w:basedOn w:val="DefaultParagraphFont"/>
    <w:rsid w:val="00272BA4"/>
    <w:rPr>
      <w:b/>
      <w:bCs/>
      <w:color w:val="990000"/>
      <w:shd w:val="clear" w:color="auto" w:fill="FFFFCC"/>
    </w:rPr>
  </w:style>
  <w:style w:type="character" w:customStyle="1" w:styleId="Style12pt">
    <w:name w:val="Style 12 pt"/>
    <w:basedOn w:val="DefaultParagraphFont"/>
    <w:rsid w:val="00272BA4"/>
    <w:rPr>
      <w:sz w:val="22"/>
    </w:rPr>
  </w:style>
  <w:style w:type="character" w:customStyle="1" w:styleId="CharSectno">
    <w:name w:val="CharSectno"/>
    <w:basedOn w:val="DefaultParagraphFont"/>
    <w:rsid w:val="00272BA4"/>
  </w:style>
  <w:style w:type="character" w:customStyle="1" w:styleId="CharSubdNo">
    <w:name w:val="CharSubdNo"/>
    <w:basedOn w:val="DefaultParagraphFont"/>
    <w:rsid w:val="00272BA4"/>
  </w:style>
  <w:style w:type="character" w:customStyle="1" w:styleId="CharSubdText">
    <w:name w:val="CharSubdText"/>
    <w:basedOn w:val="DefaultParagraphFont"/>
    <w:rsid w:val="00272BA4"/>
  </w:style>
  <w:style w:type="paragraph" w:customStyle="1" w:styleId="Formula">
    <w:name w:val="Formula"/>
    <w:rsid w:val="00272BA4"/>
    <w:pPr>
      <w:spacing w:after="0" w:line="240" w:lineRule="auto"/>
      <w:ind w:left="1134"/>
    </w:pPr>
    <w:rPr>
      <w:rFonts w:ascii="Times New Roman" w:eastAsia="Times New Roman" w:hAnsi="Times New Roman" w:cs="Times New Roman"/>
      <w:sz w:val="20"/>
      <w:szCs w:val="24"/>
      <w:lang w:eastAsia="en-AU"/>
    </w:rPr>
  </w:style>
  <w:style w:type="paragraph" w:customStyle="1" w:styleId="paragraph">
    <w:name w:val="paragraph"/>
    <w:aliases w:val="a"/>
    <w:rsid w:val="00272BA4"/>
    <w:pPr>
      <w:tabs>
        <w:tab w:val="right" w:pos="1531"/>
      </w:tabs>
      <w:spacing w:before="40" w:after="0" w:line="240" w:lineRule="auto"/>
      <w:ind w:left="1644" w:hanging="1644"/>
    </w:pPr>
    <w:rPr>
      <w:rFonts w:ascii="Times New Roman" w:eastAsia="Times New Roman" w:hAnsi="Times New Roman" w:cs="Times New Roman"/>
      <w:szCs w:val="24"/>
      <w:lang w:eastAsia="en-AU"/>
    </w:rPr>
  </w:style>
  <w:style w:type="paragraph" w:customStyle="1" w:styleId="paragraphsub">
    <w:name w:val="paragraph(sub)"/>
    <w:aliases w:val="aa"/>
    <w:basedOn w:val="paragraph"/>
    <w:uiPriority w:val="99"/>
    <w:rsid w:val="00272BA4"/>
    <w:pPr>
      <w:tabs>
        <w:tab w:val="clear" w:pos="1531"/>
        <w:tab w:val="right" w:pos="1985"/>
      </w:tabs>
      <w:ind w:left="2098" w:hanging="2098"/>
    </w:pPr>
  </w:style>
  <w:style w:type="paragraph" w:customStyle="1" w:styleId="subsection">
    <w:name w:val="subsection"/>
    <w:aliases w:val="ss"/>
    <w:rsid w:val="00272BA4"/>
    <w:pPr>
      <w:tabs>
        <w:tab w:val="right" w:pos="1021"/>
      </w:tabs>
      <w:spacing w:before="180" w:after="0" w:line="240" w:lineRule="auto"/>
      <w:ind w:left="1134" w:hanging="1134"/>
    </w:pPr>
    <w:rPr>
      <w:rFonts w:ascii="Times New Roman" w:eastAsia="Times New Roman" w:hAnsi="Times New Roman" w:cs="Times New Roman"/>
      <w:szCs w:val="24"/>
      <w:lang w:eastAsia="en-AU"/>
    </w:rPr>
  </w:style>
  <w:style w:type="paragraph" w:customStyle="1" w:styleId="Definition">
    <w:name w:val="Definition"/>
    <w:aliases w:val="dd"/>
    <w:basedOn w:val="subsection"/>
    <w:rsid w:val="00272BA4"/>
    <w:pPr>
      <w:tabs>
        <w:tab w:val="clear" w:pos="1021"/>
      </w:tabs>
      <w:ind w:firstLine="0"/>
    </w:pPr>
  </w:style>
  <w:style w:type="paragraph" w:customStyle="1" w:styleId="notetext">
    <w:name w:val="note(text)"/>
    <w:aliases w:val="n"/>
    <w:rsid w:val="00272BA4"/>
    <w:pPr>
      <w:spacing w:before="122" w:after="0" w:line="198" w:lineRule="exact"/>
      <w:ind w:left="1985" w:hanging="851"/>
    </w:pPr>
    <w:rPr>
      <w:rFonts w:ascii="Times New Roman" w:eastAsia="Times New Roman" w:hAnsi="Times New Roman" w:cs="Times New Roman"/>
      <w:sz w:val="18"/>
      <w:szCs w:val="24"/>
      <w:lang w:eastAsia="en-AU"/>
    </w:rPr>
  </w:style>
  <w:style w:type="paragraph" w:customStyle="1" w:styleId="noteparap">
    <w:name w:val="note(parap)"/>
    <w:aliases w:val="na,note(para)"/>
    <w:basedOn w:val="notetext"/>
    <w:rsid w:val="00272BA4"/>
    <w:pPr>
      <w:ind w:left="2353" w:hanging="709"/>
    </w:pPr>
  </w:style>
  <w:style w:type="paragraph" w:customStyle="1" w:styleId="subsection2">
    <w:name w:val="subsection2"/>
    <w:aliases w:val="ss2"/>
    <w:basedOn w:val="subsection"/>
    <w:next w:val="subsection"/>
    <w:rsid w:val="00272BA4"/>
    <w:pPr>
      <w:tabs>
        <w:tab w:val="clear" w:pos="1021"/>
      </w:tabs>
      <w:spacing w:before="40"/>
      <w:ind w:firstLine="0"/>
    </w:pPr>
  </w:style>
  <w:style w:type="paragraph" w:customStyle="1" w:styleId="SubsectionHead">
    <w:name w:val="SubsectionHead"/>
    <w:aliases w:val="ssh"/>
    <w:basedOn w:val="subsection"/>
    <w:next w:val="subsection"/>
    <w:rsid w:val="00272BA4"/>
    <w:pPr>
      <w:keepNext/>
      <w:keepLines/>
      <w:tabs>
        <w:tab w:val="clear" w:pos="1021"/>
      </w:tabs>
      <w:spacing w:before="240"/>
      <w:ind w:firstLine="0"/>
    </w:pPr>
    <w:rPr>
      <w:i/>
    </w:rPr>
  </w:style>
  <w:style w:type="paragraph" w:customStyle="1" w:styleId="ActHead4">
    <w:name w:val="ActHead 4"/>
    <w:aliases w:val="sd"/>
    <w:basedOn w:val="Normal"/>
    <w:next w:val="Normal"/>
    <w:rsid w:val="00272BA4"/>
    <w:pPr>
      <w:keepNext/>
      <w:keepLines/>
      <w:spacing w:before="220" w:line="240" w:lineRule="auto"/>
      <w:ind w:left="1134" w:hanging="1134"/>
      <w:outlineLvl w:val="3"/>
    </w:pPr>
    <w:rPr>
      <w:rFonts w:ascii="Times New Roman" w:eastAsia="Times New Roman" w:hAnsi="Times New Roman" w:cs="Times New Roman"/>
      <w:b/>
      <w:bCs/>
      <w:kern w:val="28"/>
      <w:sz w:val="26"/>
      <w:szCs w:val="32"/>
      <w:lang w:val="en-AU" w:eastAsia="en-AU"/>
    </w:rPr>
  </w:style>
  <w:style w:type="paragraph" w:customStyle="1" w:styleId="ActHead5">
    <w:name w:val="ActHead 5"/>
    <w:aliases w:val="s"/>
    <w:basedOn w:val="Normal"/>
    <w:next w:val="Normal"/>
    <w:rsid w:val="00272BA4"/>
    <w:pPr>
      <w:keepNext/>
      <w:keepLines/>
      <w:spacing w:before="280" w:line="240" w:lineRule="auto"/>
      <w:ind w:left="1134" w:hanging="1134"/>
      <w:outlineLvl w:val="4"/>
    </w:pPr>
    <w:rPr>
      <w:rFonts w:ascii="Times New Roman" w:eastAsia="Times New Roman" w:hAnsi="Times New Roman" w:cs="Times New Roman"/>
      <w:b/>
      <w:bCs/>
      <w:kern w:val="28"/>
      <w:sz w:val="24"/>
      <w:szCs w:val="32"/>
      <w:lang w:val="en-AU" w:eastAsia="en-AU"/>
    </w:rPr>
  </w:style>
  <w:style w:type="character" w:styleId="PageNumber">
    <w:name w:val="page number"/>
    <w:basedOn w:val="DefaultParagraphFont"/>
    <w:rsid w:val="00272BA4"/>
  </w:style>
  <w:style w:type="paragraph" w:styleId="NoSpacing">
    <w:name w:val="No Spacing"/>
    <w:uiPriority w:val="1"/>
    <w:rsid w:val="00272BA4"/>
    <w:pPr>
      <w:spacing w:after="0" w:line="240" w:lineRule="auto"/>
    </w:pPr>
    <w:rPr>
      <w:rFonts w:ascii="Calibri" w:eastAsia="Calibri" w:hAnsi="Calibri" w:cs="Times New Roman"/>
      <w:sz w:val="21"/>
      <w:lang w:val="en-NZ"/>
    </w:rPr>
  </w:style>
  <w:style w:type="paragraph" w:styleId="TOC4">
    <w:name w:val="toc 4"/>
    <w:basedOn w:val="Normal"/>
    <w:next w:val="Normal"/>
    <w:autoRedefine/>
    <w:uiPriority w:val="39"/>
    <w:unhideWhenUsed/>
    <w:rsid w:val="00565FFD"/>
    <w:pPr>
      <w:spacing w:after="60"/>
      <w:ind w:left="658"/>
    </w:pPr>
    <w:rPr>
      <w:rFonts w:ascii="Calibri" w:eastAsia="Times New Roman" w:hAnsi="Calibri" w:cs="Times New Roman"/>
      <w:sz w:val="20"/>
      <w:lang w:val="en-AU" w:eastAsia="en-AU"/>
    </w:rPr>
  </w:style>
  <w:style w:type="paragraph" w:styleId="TOC5">
    <w:name w:val="toc 5"/>
    <w:basedOn w:val="Normal"/>
    <w:next w:val="Normal"/>
    <w:autoRedefine/>
    <w:uiPriority w:val="39"/>
    <w:unhideWhenUsed/>
    <w:rsid w:val="00272BA4"/>
    <w:pPr>
      <w:spacing w:after="100"/>
      <w:ind w:left="880"/>
    </w:pPr>
    <w:rPr>
      <w:rFonts w:ascii="Calibri" w:eastAsia="Times New Roman" w:hAnsi="Calibri" w:cs="Times New Roman"/>
      <w:sz w:val="22"/>
      <w:lang w:val="en-AU" w:eastAsia="en-AU"/>
    </w:rPr>
  </w:style>
  <w:style w:type="paragraph" w:styleId="TOC6">
    <w:name w:val="toc 6"/>
    <w:basedOn w:val="Normal"/>
    <w:next w:val="Normal"/>
    <w:autoRedefine/>
    <w:uiPriority w:val="39"/>
    <w:unhideWhenUsed/>
    <w:rsid w:val="00272BA4"/>
    <w:pPr>
      <w:spacing w:after="100"/>
      <w:ind w:left="1100"/>
    </w:pPr>
    <w:rPr>
      <w:rFonts w:ascii="Calibri" w:eastAsia="Times New Roman" w:hAnsi="Calibri" w:cs="Times New Roman"/>
      <w:sz w:val="22"/>
      <w:lang w:val="en-AU" w:eastAsia="en-AU"/>
    </w:rPr>
  </w:style>
  <w:style w:type="paragraph" w:styleId="TOC7">
    <w:name w:val="toc 7"/>
    <w:basedOn w:val="Normal"/>
    <w:next w:val="Normal"/>
    <w:autoRedefine/>
    <w:uiPriority w:val="39"/>
    <w:unhideWhenUsed/>
    <w:rsid w:val="00272BA4"/>
    <w:pPr>
      <w:spacing w:after="100"/>
      <w:ind w:left="1320"/>
    </w:pPr>
    <w:rPr>
      <w:rFonts w:ascii="Calibri" w:eastAsia="Times New Roman" w:hAnsi="Calibri" w:cs="Times New Roman"/>
      <w:sz w:val="22"/>
      <w:lang w:val="en-AU" w:eastAsia="en-AU"/>
    </w:rPr>
  </w:style>
  <w:style w:type="paragraph" w:styleId="TOC8">
    <w:name w:val="toc 8"/>
    <w:basedOn w:val="Normal"/>
    <w:next w:val="Normal"/>
    <w:autoRedefine/>
    <w:uiPriority w:val="39"/>
    <w:unhideWhenUsed/>
    <w:rsid w:val="00272BA4"/>
    <w:pPr>
      <w:spacing w:after="100"/>
      <w:ind w:left="1540"/>
    </w:pPr>
    <w:rPr>
      <w:rFonts w:ascii="Calibri" w:eastAsia="Times New Roman" w:hAnsi="Calibri" w:cs="Times New Roman"/>
      <w:sz w:val="22"/>
      <w:lang w:val="en-AU" w:eastAsia="en-AU"/>
    </w:rPr>
  </w:style>
  <w:style w:type="paragraph" w:styleId="TOC9">
    <w:name w:val="toc 9"/>
    <w:basedOn w:val="Normal"/>
    <w:next w:val="Normal"/>
    <w:autoRedefine/>
    <w:uiPriority w:val="39"/>
    <w:unhideWhenUsed/>
    <w:rsid w:val="00272BA4"/>
    <w:pPr>
      <w:spacing w:after="100"/>
      <w:ind w:left="1760"/>
    </w:pPr>
    <w:rPr>
      <w:rFonts w:ascii="Calibri" w:eastAsia="Times New Roman" w:hAnsi="Calibri" w:cs="Times New Roman"/>
      <w:sz w:val="22"/>
      <w:lang w:val="en-AU" w:eastAsia="en-AU"/>
    </w:rPr>
  </w:style>
  <w:style w:type="table" w:customStyle="1" w:styleId="LightShading2">
    <w:name w:val="Light Shading2"/>
    <w:basedOn w:val="TableNormal"/>
    <w:uiPriority w:val="60"/>
    <w:rsid w:val="00272BA4"/>
    <w:pPr>
      <w:spacing w:after="0" w:line="240" w:lineRule="auto"/>
    </w:pPr>
    <w:rPr>
      <w:rFonts w:ascii="Calibri" w:eastAsia="Calibri" w:hAnsi="Calibri" w:cs="Times New Roman"/>
      <w:color w:val="000000"/>
      <w:sz w:val="20"/>
      <w:szCs w:val="2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Date">
    <w:name w:val="Date"/>
    <w:basedOn w:val="Normal"/>
    <w:next w:val="Normal"/>
    <w:link w:val="DateChar"/>
    <w:uiPriority w:val="99"/>
    <w:unhideWhenUsed/>
    <w:rsid w:val="00272BA4"/>
    <w:pPr>
      <w:spacing w:line="288" w:lineRule="auto"/>
    </w:pPr>
    <w:rPr>
      <w:rFonts w:ascii="Calibri" w:eastAsia="Calibri" w:hAnsi="Calibri" w:cs="Times New Roman"/>
      <w:sz w:val="22"/>
      <w:lang w:val="en-AU"/>
    </w:rPr>
  </w:style>
  <w:style w:type="character" w:customStyle="1" w:styleId="DateChar">
    <w:name w:val="Date Char"/>
    <w:basedOn w:val="DefaultParagraphFont"/>
    <w:link w:val="Date"/>
    <w:uiPriority w:val="99"/>
    <w:rsid w:val="00272BA4"/>
    <w:rPr>
      <w:rFonts w:ascii="Calibri" w:eastAsia="Calibri" w:hAnsi="Calibri" w:cs="Times New Roman"/>
    </w:rPr>
  </w:style>
  <w:style w:type="paragraph" w:customStyle="1" w:styleId="issuetext">
    <w:name w:val="issue text"/>
    <w:basedOn w:val="Normal"/>
    <w:link w:val="issuetextChar"/>
    <w:autoRedefine/>
    <w:rsid w:val="00272BA4"/>
    <w:pPr>
      <w:tabs>
        <w:tab w:val="left" w:pos="0"/>
      </w:tabs>
      <w:spacing w:before="180" w:line="280" w:lineRule="exact"/>
    </w:pPr>
    <w:rPr>
      <w:rFonts w:ascii="Arial" w:eastAsia="Times New Roman" w:hAnsi="Arial" w:cs="Arial"/>
      <w:bCs/>
      <w:sz w:val="20"/>
      <w:szCs w:val="20"/>
      <w:lang w:val="en-AU" w:eastAsia="en-AU"/>
    </w:rPr>
  </w:style>
  <w:style w:type="character" w:customStyle="1" w:styleId="issuetextChar">
    <w:name w:val="issue text Char"/>
    <w:basedOn w:val="DefaultParagraphFont"/>
    <w:link w:val="issuetext"/>
    <w:rsid w:val="00272BA4"/>
    <w:rPr>
      <w:rFonts w:ascii="Arial" w:eastAsia="Times New Roman" w:hAnsi="Arial" w:cs="Arial"/>
      <w:bCs/>
      <w:sz w:val="20"/>
      <w:szCs w:val="20"/>
      <w:lang w:eastAsia="en-AU"/>
    </w:rPr>
  </w:style>
  <w:style w:type="table" w:customStyle="1" w:styleId="LightShading3">
    <w:name w:val="Light Shading3"/>
    <w:basedOn w:val="TableNormal"/>
    <w:uiPriority w:val="60"/>
    <w:rsid w:val="00272BA4"/>
    <w:pPr>
      <w:spacing w:after="0" w:line="240" w:lineRule="auto"/>
    </w:pPr>
    <w:rPr>
      <w:rFonts w:ascii="Calibri" w:eastAsia="Calibri" w:hAnsi="Calibri" w:cs="Times New Roman"/>
      <w:color w:val="000000" w:themeColor="text1" w:themeShade="BF"/>
      <w:sz w:val="19"/>
      <w:szCs w:val="20"/>
      <w:lang w:val="en-US"/>
    </w:rPr>
    <w:tblPr>
      <w:tblStyleRowBandSize w:val="1"/>
      <w:tblStyleColBandSize w:val="1"/>
      <w:tblBorders>
        <w:top w:val="single" w:sz="8" w:space="0" w:color="000000" w:themeColor="text1"/>
        <w:bottom w:val="single" w:sz="8" w:space="0" w:color="000000" w:themeColor="text1"/>
        <w:insideH w:val="dotted" w:sz="4" w:space="0" w:color="7F7F7F" w:themeColor="text1" w:themeTint="80"/>
        <w:insideV w:val="dotted" w:sz="4" w:space="0" w:color="7F7F7F" w:themeColor="text1" w:themeTint="80"/>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shd w:val="clear" w:color="auto" w:fill="F2F2F2" w:themeFill="background1" w:themeFillShade="F2"/>
      </w:tcPr>
    </w:tblStylePr>
  </w:style>
  <w:style w:type="paragraph" w:customStyle="1" w:styleId="Bullet">
    <w:name w:val="Bullet"/>
    <w:basedOn w:val="Normal"/>
    <w:link w:val="BulletChar"/>
    <w:uiPriority w:val="99"/>
    <w:rsid w:val="00272BA4"/>
    <w:pPr>
      <w:numPr>
        <w:numId w:val="2"/>
      </w:numPr>
      <w:spacing w:after="240" w:line="280" w:lineRule="exact"/>
      <w:jc w:val="both"/>
    </w:pPr>
    <w:rPr>
      <w:rFonts w:ascii="Calibri" w:eastAsia="Times New Roman" w:hAnsi="Calibri" w:cs="Times New Roman"/>
      <w:color w:val="000000"/>
      <w:sz w:val="22"/>
      <w:szCs w:val="20"/>
      <w:lang w:val="en-AU" w:eastAsia="en-AU"/>
    </w:rPr>
  </w:style>
  <w:style w:type="character" w:customStyle="1" w:styleId="BulletChar">
    <w:name w:val="Bullet Char"/>
    <w:basedOn w:val="DefaultParagraphFont"/>
    <w:link w:val="Bullet"/>
    <w:uiPriority w:val="99"/>
    <w:locked/>
    <w:rsid w:val="00272BA4"/>
    <w:rPr>
      <w:rFonts w:ascii="Calibri" w:eastAsia="Times New Roman" w:hAnsi="Calibri" w:cs="Times New Roman"/>
      <w:color w:val="000000"/>
      <w:szCs w:val="20"/>
      <w:lang w:eastAsia="en-AU"/>
    </w:rPr>
  </w:style>
  <w:style w:type="paragraph" w:customStyle="1" w:styleId="Dash">
    <w:name w:val="Dash"/>
    <w:basedOn w:val="Normal"/>
    <w:uiPriority w:val="99"/>
    <w:rsid w:val="00272BA4"/>
    <w:pPr>
      <w:numPr>
        <w:ilvl w:val="1"/>
        <w:numId w:val="2"/>
      </w:numPr>
      <w:spacing w:after="240" w:line="280" w:lineRule="exact"/>
      <w:jc w:val="both"/>
    </w:pPr>
    <w:rPr>
      <w:rFonts w:ascii="Calibri" w:eastAsia="Times New Roman" w:hAnsi="Calibri" w:cs="Times New Roman"/>
      <w:color w:val="000000"/>
      <w:sz w:val="22"/>
      <w:szCs w:val="20"/>
      <w:lang w:val="en-AU" w:eastAsia="en-AU"/>
    </w:rPr>
  </w:style>
  <w:style w:type="paragraph" w:customStyle="1" w:styleId="DoubleDot">
    <w:name w:val="Double Dot"/>
    <w:basedOn w:val="Normal"/>
    <w:uiPriority w:val="99"/>
    <w:rsid w:val="00272BA4"/>
    <w:pPr>
      <w:tabs>
        <w:tab w:val="num" w:pos="1700"/>
      </w:tabs>
      <w:spacing w:after="240" w:line="280" w:lineRule="exact"/>
      <w:ind w:left="1700" w:hanging="566"/>
      <w:jc w:val="both"/>
    </w:pPr>
    <w:rPr>
      <w:rFonts w:ascii="Calibri" w:eastAsia="Times New Roman" w:hAnsi="Calibri" w:cs="Times New Roman"/>
      <w:color w:val="000000"/>
      <w:sz w:val="22"/>
      <w:szCs w:val="20"/>
      <w:lang w:val="en-AU" w:eastAsia="en-AU"/>
    </w:rPr>
  </w:style>
  <w:style w:type="paragraph" w:customStyle="1" w:styleId="BoxHeading">
    <w:name w:val="Box Heading"/>
    <w:basedOn w:val="Normal"/>
    <w:next w:val="BoxText"/>
    <w:uiPriority w:val="99"/>
    <w:rsid w:val="00272BA4"/>
    <w:pPr>
      <w:keepNext/>
      <w:spacing w:before="240" w:after="120" w:line="240" w:lineRule="auto"/>
    </w:pPr>
    <w:rPr>
      <w:rFonts w:ascii="Calibri" w:eastAsia="Times New Roman" w:hAnsi="Calibri" w:cs="Times New Roman"/>
      <w:b/>
      <w:color w:val="342E82"/>
      <w:sz w:val="22"/>
      <w:szCs w:val="20"/>
      <w:lang w:val="en-AU" w:eastAsia="en-AU"/>
    </w:rPr>
  </w:style>
  <w:style w:type="paragraph" w:customStyle="1" w:styleId="BoxText">
    <w:name w:val="Box Text"/>
    <w:basedOn w:val="Normal"/>
    <w:qFormat/>
    <w:rsid w:val="00272BA4"/>
    <w:pPr>
      <w:spacing w:after="240" w:line="280" w:lineRule="exact"/>
      <w:jc w:val="both"/>
    </w:pPr>
    <w:rPr>
      <w:rFonts w:ascii="Calibri" w:eastAsia="Times New Roman" w:hAnsi="Calibri" w:cs="Times New Roman"/>
      <w:color w:val="000000"/>
      <w:sz w:val="22"/>
      <w:szCs w:val="20"/>
      <w:lang w:val="en-AU" w:eastAsia="en-AU"/>
    </w:rPr>
  </w:style>
  <w:style w:type="paragraph" w:customStyle="1" w:styleId="BoxBullet">
    <w:name w:val="Box Bullet"/>
    <w:basedOn w:val="Normal"/>
    <w:rsid w:val="00272BA4"/>
    <w:pPr>
      <w:numPr>
        <w:numId w:val="3"/>
      </w:numPr>
      <w:spacing w:after="240" w:line="280" w:lineRule="exact"/>
      <w:jc w:val="both"/>
    </w:pPr>
    <w:rPr>
      <w:rFonts w:ascii="Calibri" w:eastAsia="Times New Roman" w:hAnsi="Calibri" w:cs="Times New Roman"/>
      <w:color w:val="000000"/>
      <w:sz w:val="22"/>
      <w:szCs w:val="20"/>
      <w:lang w:val="en-AU" w:eastAsia="en-AU"/>
    </w:rPr>
  </w:style>
  <w:style w:type="paragraph" w:customStyle="1" w:styleId="BoxDash">
    <w:name w:val="Box Dash"/>
    <w:basedOn w:val="Normal"/>
    <w:uiPriority w:val="99"/>
    <w:rsid w:val="00272BA4"/>
    <w:pPr>
      <w:tabs>
        <w:tab w:val="num" w:pos="1134"/>
      </w:tabs>
      <w:spacing w:after="240" w:line="280" w:lineRule="exact"/>
      <w:ind w:left="1134" w:hanging="568"/>
      <w:jc w:val="both"/>
    </w:pPr>
    <w:rPr>
      <w:rFonts w:ascii="Calibri" w:eastAsia="Times New Roman" w:hAnsi="Calibri" w:cs="Times New Roman"/>
      <w:color w:val="000000"/>
      <w:sz w:val="22"/>
      <w:szCs w:val="20"/>
      <w:lang w:val="en-AU" w:eastAsia="en-AU"/>
    </w:rPr>
  </w:style>
  <w:style w:type="paragraph" w:customStyle="1" w:styleId="BoxDoubleDot">
    <w:name w:val="Box Double Dot"/>
    <w:basedOn w:val="Normal"/>
    <w:uiPriority w:val="99"/>
    <w:rsid w:val="00272BA4"/>
    <w:pPr>
      <w:tabs>
        <w:tab w:val="num" w:pos="1700"/>
      </w:tabs>
      <w:spacing w:after="240" w:line="280" w:lineRule="exact"/>
      <w:ind w:left="1700" w:hanging="566"/>
      <w:jc w:val="both"/>
    </w:pPr>
    <w:rPr>
      <w:rFonts w:ascii="Calibri" w:eastAsia="Times New Roman" w:hAnsi="Calibri" w:cs="Times New Roman"/>
      <w:color w:val="000000"/>
      <w:sz w:val="22"/>
      <w:szCs w:val="20"/>
      <w:lang w:val="en-AU" w:eastAsia="en-AU"/>
    </w:rPr>
  </w:style>
  <w:style w:type="character" w:customStyle="1" w:styleId="apple-converted-space">
    <w:name w:val="apple-converted-space"/>
    <w:basedOn w:val="DefaultParagraphFont"/>
    <w:rsid w:val="00272BA4"/>
  </w:style>
  <w:style w:type="paragraph" w:customStyle="1" w:styleId="acthead50">
    <w:name w:val="acthead5"/>
    <w:basedOn w:val="Normal"/>
    <w:rsid w:val="00272BA4"/>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charsectno0">
    <w:name w:val="charsectno"/>
    <w:basedOn w:val="DefaultParagraphFont"/>
    <w:rsid w:val="00272BA4"/>
  </w:style>
  <w:style w:type="paragraph" w:customStyle="1" w:styleId="notepara">
    <w:name w:val="notepara"/>
    <w:basedOn w:val="Normal"/>
    <w:rsid w:val="00272BA4"/>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paragraphsub0">
    <w:name w:val="paragraphsub"/>
    <w:basedOn w:val="Normal"/>
    <w:rsid w:val="00272BA4"/>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notetext0">
    <w:name w:val="notetext"/>
    <w:basedOn w:val="Normal"/>
    <w:rsid w:val="00272BA4"/>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subsectionhead0">
    <w:name w:val="subsectionhead"/>
    <w:basedOn w:val="Normal"/>
    <w:rsid w:val="00272BA4"/>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Level1numbering">
    <w:name w:val="Level 1 numbering"/>
    <w:basedOn w:val="Normal"/>
    <w:uiPriority w:val="99"/>
    <w:rsid w:val="00272BA4"/>
    <w:pPr>
      <w:tabs>
        <w:tab w:val="left" w:pos="1701"/>
        <w:tab w:val="left" w:pos="2552"/>
      </w:tabs>
      <w:spacing w:before="60" w:after="60" w:line="312" w:lineRule="auto"/>
      <w:ind w:left="720" w:hanging="360"/>
    </w:pPr>
    <w:rPr>
      <w:rFonts w:ascii="Arial" w:eastAsia="Times New Roman" w:hAnsi="Arial" w:cs="Arial"/>
      <w:color w:val="000000"/>
      <w:sz w:val="20"/>
      <w:szCs w:val="20"/>
      <w:lang w:val="en-AU"/>
    </w:rPr>
  </w:style>
  <w:style w:type="paragraph" w:styleId="HTMLPreformatted">
    <w:name w:val="HTML Preformatted"/>
    <w:basedOn w:val="Normal"/>
    <w:link w:val="HTMLPreformattedChar"/>
    <w:uiPriority w:val="99"/>
    <w:unhideWhenUsed/>
    <w:rsid w:val="00272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AU" w:eastAsia="en-AU"/>
    </w:rPr>
  </w:style>
  <w:style w:type="character" w:customStyle="1" w:styleId="HTMLPreformattedChar">
    <w:name w:val="HTML Preformatted Char"/>
    <w:basedOn w:val="DefaultParagraphFont"/>
    <w:link w:val="HTMLPreformatted"/>
    <w:uiPriority w:val="99"/>
    <w:rsid w:val="00272BA4"/>
    <w:rPr>
      <w:rFonts w:ascii="Courier New" w:eastAsia="Times New Roman" w:hAnsi="Courier New" w:cs="Courier New"/>
      <w:sz w:val="20"/>
      <w:szCs w:val="20"/>
      <w:lang w:eastAsia="en-AU"/>
    </w:rPr>
  </w:style>
  <w:style w:type="paragraph" w:customStyle="1" w:styleId="levela">
    <w:name w:val="levela"/>
    <w:basedOn w:val="Normal"/>
    <w:rsid w:val="00272BA4"/>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level1">
    <w:name w:val="level1"/>
    <w:basedOn w:val="Normal"/>
    <w:rsid w:val="00272BA4"/>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heading2anotoc">
    <w:name w:val="heading2anotoc"/>
    <w:basedOn w:val="Normal"/>
    <w:rsid w:val="00272BA4"/>
    <w:pPr>
      <w:spacing w:line="240" w:lineRule="auto"/>
    </w:pPr>
    <w:rPr>
      <w:rFonts w:ascii="Times New Roman" w:eastAsia="Times New Roman" w:hAnsi="Times New Roman" w:cs="Times New Roman"/>
      <w:sz w:val="36"/>
      <w:szCs w:val="36"/>
      <w:lang w:val="en-AU" w:eastAsia="en-AU"/>
    </w:rPr>
  </w:style>
  <w:style w:type="table" w:customStyle="1" w:styleId="KSChecklist">
    <w:name w:val="KS Checklist"/>
    <w:basedOn w:val="TableNormal"/>
    <w:uiPriority w:val="99"/>
    <w:qFormat/>
    <w:rsid w:val="00B672B8"/>
    <w:pPr>
      <w:spacing w:after="0" w:line="240" w:lineRule="auto"/>
    </w:pPr>
    <w:rPr>
      <w:sz w:val="19"/>
    </w:rPr>
    <w:tblPr>
      <w:tblStyleRowBandSize w:val="1"/>
      <w:tblStyleColBandSize w:val="1"/>
      <w:tbl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insideH w:val="dotted" w:sz="4" w:space="0" w:color="595959" w:themeColor="text1" w:themeTint="A6"/>
        <w:insideV w:val="dotted" w:sz="4" w:space="0" w:color="595959" w:themeColor="text1" w:themeTint="A6"/>
      </w:tblBorders>
    </w:tblPr>
    <w:tblStylePr w:type="firstRow">
      <w:rPr>
        <w:rFonts w:asciiTheme="minorHAnsi" w:hAnsiTheme="minorHAnsi"/>
        <w:sz w:val="19"/>
      </w:rPr>
      <w:tblPr/>
      <w:tcPr>
        <w:tcBorders>
          <w:top w:val="single" w:sz="4" w:space="0" w:color="auto"/>
          <w:left w:val="dotted" w:sz="4" w:space="0" w:color="595959" w:themeColor="text1" w:themeTint="A6"/>
          <w:bottom w:val="single" w:sz="4" w:space="0" w:color="auto"/>
          <w:right w:val="dotted" w:sz="4" w:space="0" w:color="595959" w:themeColor="text1" w:themeTint="A6"/>
          <w:insideH w:val="dotted" w:sz="4" w:space="0" w:color="595959" w:themeColor="text1" w:themeTint="A6"/>
          <w:insideV w:val="dotted" w:sz="4" w:space="0" w:color="595959" w:themeColor="text1" w:themeTint="A6"/>
        </w:tcBorders>
        <w:shd w:val="clear" w:color="auto" w:fill="FFFFFF" w:themeFill="background1"/>
      </w:tcPr>
    </w:tblStylePr>
    <w:tblStylePr w:type="lastRow">
      <w:rPr>
        <w:rFonts w:asciiTheme="minorHAnsi" w:hAnsiTheme="minorHAnsi"/>
        <w:sz w:val="19"/>
      </w:rPr>
    </w:tblStylePr>
    <w:tblStylePr w:type="firstCol">
      <w:rPr>
        <w:rFonts w:asciiTheme="minorHAnsi" w:hAnsiTheme="minorHAnsi"/>
        <w:sz w:val="19"/>
      </w:rPr>
    </w:tblStylePr>
    <w:tblStylePr w:type="lastCol">
      <w:rPr>
        <w:rFonts w:asciiTheme="minorHAnsi" w:hAnsiTheme="minorHAnsi"/>
        <w:sz w:val="19"/>
      </w:rPr>
    </w:tblStylePr>
    <w:tblStylePr w:type="band1Vert">
      <w:rPr>
        <w:rFonts w:asciiTheme="minorHAnsi" w:hAnsiTheme="minorHAnsi"/>
        <w:sz w:val="19"/>
      </w:rPr>
    </w:tblStylePr>
    <w:tblStylePr w:type="band2Vert">
      <w:rPr>
        <w:rFonts w:asciiTheme="minorHAnsi" w:hAnsiTheme="minorHAnsi"/>
        <w:sz w:val="19"/>
      </w:rPr>
    </w:tblStylePr>
    <w:tblStylePr w:type="band1Horz">
      <w:rPr>
        <w:rFonts w:asciiTheme="minorHAnsi" w:hAnsiTheme="minorHAnsi"/>
        <w:sz w:val="19"/>
      </w:rPr>
      <w:tblPr/>
      <w:tcPr>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insideH w:val="dotted" w:sz="4" w:space="0" w:color="595959" w:themeColor="text1" w:themeTint="A6"/>
          <w:insideV w:val="dotted" w:sz="4" w:space="0" w:color="595959" w:themeColor="text1" w:themeTint="A6"/>
        </w:tcBorders>
        <w:shd w:val="clear" w:color="auto" w:fill="F2F2F2" w:themeFill="background1" w:themeFillShade="F2"/>
      </w:tcPr>
    </w:tblStylePr>
    <w:tblStylePr w:type="band2Horz">
      <w:rPr>
        <w:rFonts w:asciiTheme="minorHAnsi" w:hAnsiTheme="minorHAnsi"/>
        <w:sz w:val="19"/>
      </w:rPr>
      <w:tblPr/>
      <w:tcPr>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insideH w:val="dotted" w:sz="4" w:space="0" w:color="595959" w:themeColor="text1" w:themeTint="A6"/>
          <w:insideV w:val="dotted" w:sz="4" w:space="0" w:color="595959" w:themeColor="text1" w:themeTint="A6"/>
        </w:tcBorders>
      </w:tcPr>
    </w:tblStylePr>
  </w:style>
  <w:style w:type="paragraph" w:customStyle="1" w:styleId="ChecklistNumbering">
    <w:name w:val="Checklist Numbering"/>
    <w:basedOn w:val="ListParagraph"/>
    <w:rsid w:val="00B672B8"/>
    <w:pPr>
      <w:numPr>
        <w:numId w:val="4"/>
      </w:numPr>
      <w:spacing w:line="240" w:lineRule="auto"/>
    </w:pPr>
    <w:rPr>
      <w:rFonts w:ascii="Calibri" w:hAnsi="Calibri"/>
      <w:b/>
      <w:sz w:val="18"/>
      <w:szCs w:val="19"/>
    </w:rPr>
  </w:style>
  <w:style w:type="character" w:customStyle="1" w:styleId="Style2">
    <w:name w:val="Style2"/>
    <w:basedOn w:val="DefaultParagraphFont"/>
    <w:uiPriority w:val="1"/>
    <w:rsid w:val="00B672B8"/>
    <w:rPr>
      <w:rFonts w:asciiTheme="minorHAnsi" w:hAnsiTheme="minorHAnsi"/>
      <w:sz w:val="18"/>
    </w:rPr>
  </w:style>
  <w:style w:type="character" w:customStyle="1" w:styleId="apple-style-span">
    <w:name w:val="apple-style-span"/>
    <w:basedOn w:val="DefaultParagraphFont"/>
    <w:rsid w:val="009D1245"/>
  </w:style>
  <w:style w:type="paragraph" w:customStyle="1" w:styleId="hr">
    <w:name w:val="hr"/>
    <w:basedOn w:val="Normal"/>
    <w:rsid w:val="006B0C39"/>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definition0">
    <w:name w:val="definition"/>
    <w:basedOn w:val="Normal"/>
    <w:rsid w:val="000A770D"/>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Caption">
    <w:name w:val="caption"/>
    <w:basedOn w:val="Normal"/>
    <w:next w:val="Normal"/>
    <w:uiPriority w:val="99"/>
    <w:unhideWhenUsed/>
    <w:rsid w:val="00CB1F1D"/>
    <w:pPr>
      <w:tabs>
        <w:tab w:val="center" w:pos="4512"/>
      </w:tabs>
      <w:suppressAutoHyphens/>
      <w:spacing w:line="360" w:lineRule="auto"/>
      <w:jc w:val="center"/>
    </w:pPr>
    <w:rPr>
      <w:rFonts w:ascii="Times New Roman" w:eastAsia="Times New Roman" w:hAnsi="Times New Roman" w:cs="Times New Roman"/>
      <w:b/>
      <w:bCs/>
      <w:spacing w:val="-3"/>
      <w:sz w:val="24"/>
      <w:szCs w:val="24"/>
      <w:lang w:val="en-AU"/>
    </w:rPr>
  </w:style>
  <w:style w:type="paragraph" w:customStyle="1" w:styleId="P1">
    <w:name w:val="P1"/>
    <w:aliases w:val="(a)"/>
    <w:basedOn w:val="Normal"/>
    <w:uiPriority w:val="99"/>
    <w:rsid w:val="00CB1F1D"/>
    <w:pPr>
      <w:keepLines/>
      <w:tabs>
        <w:tab w:val="right" w:pos="1191"/>
      </w:tabs>
      <w:spacing w:before="60" w:line="260" w:lineRule="exact"/>
      <w:ind w:left="1418" w:hanging="1418"/>
      <w:jc w:val="both"/>
    </w:pPr>
    <w:rPr>
      <w:rFonts w:ascii="Times New Roman" w:eastAsia="Times New Roman" w:hAnsi="Times New Roman" w:cs="Times New Roman"/>
      <w:sz w:val="24"/>
      <w:szCs w:val="24"/>
      <w:lang w:val="en-AU"/>
    </w:rPr>
  </w:style>
  <w:style w:type="table" w:customStyle="1" w:styleId="LightShading4">
    <w:name w:val="Light Shading4"/>
    <w:basedOn w:val="TableNormal"/>
    <w:uiPriority w:val="60"/>
    <w:rsid w:val="00956F5A"/>
    <w:pPr>
      <w:spacing w:after="0" w:line="240" w:lineRule="auto"/>
    </w:pPr>
    <w:rPr>
      <w:color w:val="000000" w:themeColor="text1" w:themeShade="BF"/>
    </w:rPr>
    <w:tblPr>
      <w:tblStyleRowBandSize w:val="1"/>
      <w:tblStyleColBandSize w:val="1"/>
      <w:tblBorders>
        <w:insideH w:val="dotted" w:sz="4" w:space="0" w:color="808080" w:themeColor="background1" w:themeShade="80"/>
        <w:insideV w:val="dotted" w:sz="4" w:space="0" w:color="808080" w:themeColor="background1" w:themeShade="80"/>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style>
  <w:style w:type="paragraph" w:customStyle="1" w:styleId="heading3anotoc">
    <w:name w:val="heading3anotoc"/>
    <w:basedOn w:val="Normal"/>
    <w:rsid w:val="005C4C91"/>
    <w:pPr>
      <w:spacing w:line="240" w:lineRule="auto"/>
    </w:pPr>
    <w:rPr>
      <w:rFonts w:ascii="Times New Roman" w:eastAsia="Times New Roman" w:hAnsi="Times New Roman" w:cs="Times New Roman"/>
      <w:b/>
      <w:bCs/>
      <w:sz w:val="32"/>
      <w:szCs w:val="32"/>
      <w:lang w:val="en-US"/>
    </w:rPr>
  </w:style>
  <w:style w:type="table" w:customStyle="1" w:styleId="LightShading5">
    <w:name w:val="Light Shading5"/>
    <w:basedOn w:val="TableNormal"/>
    <w:uiPriority w:val="60"/>
    <w:rsid w:val="005D690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6Char">
    <w:name w:val="Heading 6 Char"/>
    <w:basedOn w:val="DefaultParagraphFont"/>
    <w:link w:val="Heading6"/>
    <w:uiPriority w:val="9"/>
    <w:rsid w:val="00FF0721"/>
    <w:rPr>
      <w:rFonts w:asciiTheme="majorHAnsi" w:eastAsiaTheme="majorEastAsia" w:hAnsiTheme="majorHAnsi" w:cstheme="majorBidi"/>
      <w:i/>
      <w:iCs/>
      <w:color w:val="243F60" w:themeColor="accent1" w:themeShade="7F"/>
      <w:lang w:val="en-NZ"/>
    </w:rPr>
  </w:style>
  <w:style w:type="character" w:customStyle="1" w:styleId="referencingstyle">
    <w:name w:val="referencingstyle"/>
    <w:basedOn w:val="DefaultParagraphFont"/>
    <w:rsid w:val="00FF0721"/>
  </w:style>
  <w:style w:type="paragraph" w:customStyle="1" w:styleId="ChapterHeading">
    <w:name w:val="Chapter Heading"/>
    <w:next w:val="Heading2"/>
    <w:rsid w:val="00CF060B"/>
    <w:pPr>
      <w:pBdr>
        <w:top w:val="single" w:sz="4" w:space="1" w:color="auto"/>
        <w:bottom w:val="single" w:sz="4" w:space="1" w:color="auto"/>
      </w:pBdr>
      <w:spacing w:before="240" w:after="0" w:line="260" w:lineRule="atLeast"/>
    </w:pPr>
    <w:rPr>
      <w:rFonts w:ascii="Helvetica" w:eastAsia="Times New Roman" w:hAnsi="Helvetica" w:cs="Times New Roman"/>
      <w:b/>
      <w:i/>
      <w:sz w:val="38"/>
      <w:szCs w:val="20"/>
      <w:lang w:eastAsia="en-AU"/>
    </w:rPr>
  </w:style>
  <w:style w:type="paragraph" w:customStyle="1" w:styleId="TableHeadingoutsidetable">
    <w:name w:val="Table Heading (outside table)"/>
    <w:basedOn w:val="Heading4"/>
    <w:rsid w:val="00CF060B"/>
    <w:pPr>
      <w:keepLines w:val="0"/>
      <w:spacing w:before="120" w:after="120"/>
      <w:ind w:left="1134"/>
    </w:pPr>
    <w:rPr>
      <w:rFonts w:ascii="Times New Roman" w:eastAsia="Times New Roman" w:hAnsi="Times New Roman" w:cs="Times New Roman"/>
      <w:bCs w:val="0"/>
      <w:i w:val="0"/>
      <w:iCs w:val="0"/>
      <w:sz w:val="22"/>
      <w:szCs w:val="20"/>
      <w:lang w:val="en-AU" w:eastAsia="en-AU"/>
    </w:rPr>
  </w:style>
  <w:style w:type="paragraph" w:customStyle="1" w:styleId="Diagram">
    <w:name w:val="Diagram"/>
    <w:basedOn w:val="Normal"/>
    <w:next w:val="Normal"/>
    <w:rsid w:val="00CF060B"/>
    <w:pPr>
      <w:keepNext/>
      <w:spacing w:line="240" w:lineRule="auto"/>
    </w:pPr>
    <w:rPr>
      <w:rFonts w:ascii="Times New Roman" w:eastAsia="Times New Roman" w:hAnsi="Times New Roman" w:cs="Times New Roman"/>
      <w:b/>
      <w:sz w:val="22"/>
      <w:szCs w:val="20"/>
      <w:lang w:val="en-AU" w:eastAsia="en-AU"/>
    </w:rPr>
  </w:style>
  <w:style w:type="numbering" w:customStyle="1" w:styleId="ChapterList">
    <w:name w:val="ChapterList"/>
    <w:uiPriority w:val="99"/>
    <w:rsid w:val="00CF060B"/>
    <w:pPr>
      <w:numPr>
        <w:numId w:val="5"/>
      </w:numPr>
    </w:pPr>
  </w:style>
  <w:style w:type="character" w:styleId="FollowedHyperlink">
    <w:name w:val="FollowedHyperlink"/>
    <w:basedOn w:val="DefaultParagraphFont"/>
    <w:uiPriority w:val="99"/>
    <w:semiHidden/>
    <w:unhideWhenUsed/>
    <w:rsid w:val="00CB54A5"/>
    <w:rPr>
      <w:color w:val="800080" w:themeColor="followedHyperlink"/>
      <w:u w:val="single"/>
    </w:rPr>
  </w:style>
  <w:style w:type="character" w:customStyle="1" w:styleId="time-mmyy1">
    <w:name w:val="time-mmyy1"/>
    <w:basedOn w:val="DefaultParagraphFont"/>
    <w:rsid w:val="00557549"/>
    <w:rPr>
      <w:b w:val="0"/>
      <w:bCs w:val="0"/>
      <w:caps/>
      <w:vanish w:val="0"/>
      <w:webHidden w:val="0"/>
      <w:sz w:val="16"/>
      <w:szCs w:val="16"/>
      <w:specVanish w:val="0"/>
    </w:rPr>
  </w:style>
  <w:style w:type="paragraph" w:customStyle="1" w:styleId="dotpoint0">
    <w:name w:val="dotpoint"/>
    <w:basedOn w:val="Normal"/>
    <w:rsid w:val="00557549"/>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dotpoint20">
    <w:name w:val="dotpoint2"/>
    <w:basedOn w:val="Normal"/>
    <w:rsid w:val="00557549"/>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summary">
    <w:name w:val="summary"/>
    <w:basedOn w:val="Normal"/>
    <w:rsid w:val="00557549"/>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H1">
    <w:name w:val="H1"/>
    <w:basedOn w:val="Normal"/>
    <w:next w:val="Normal"/>
    <w:uiPriority w:val="99"/>
    <w:rsid w:val="00557549"/>
    <w:pPr>
      <w:keepNext/>
      <w:autoSpaceDE w:val="0"/>
      <w:autoSpaceDN w:val="0"/>
      <w:adjustRightInd w:val="0"/>
      <w:spacing w:before="100" w:after="100" w:line="240" w:lineRule="auto"/>
      <w:outlineLvl w:val="1"/>
    </w:pPr>
    <w:rPr>
      <w:rFonts w:ascii="Times New Roman" w:hAnsi="Times New Roman" w:cs="Times New Roman"/>
      <w:b/>
      <w:bCs/>
      <w:kern w:val="36"/>
      <w:sz w:val="48"/>
      <w:szCs w:val="48"/>
      <w:lang w:val="en-AU"/>
    </w:rPr>
  </w:style>
  <w:style w:type="numbering" w:customStyle="1" w:styleId="Style1">
    <w:name w:val="Style1"/>
    <w:uiPriority w:val="99"/>
    <w:rsid w:val="00B311F1"/>
    <w:pPr>
      <w:numPr>
        <w:numId w:val="6"/>
      </w:numPr>
    </w:pPr>
  </w:style>
  <w:style w:type="character" w:customStyle="1" w:styleId="external">
    <w:name w:val="external"/>
    <w:basedOn w:val="DefaultParagraphFont"/>
    <w:rsid w:val="00B311F1"/>
  </w:style>
  <w:style w:type="character" w:customStyle="1" w:styleId="resizable-content">
    <w:name w:val="resizable-content"/>
    <w:rsid w:val="00B311F1"/>
  </w:style>
  <w:style w:type="paragraph" w:customStyle="1" w:styleId="exampletext0">
    <w:name w:val="exampletext"/>
    <w:basedOn w:val="Normal"/>
    <w:rsid w:val="00B311F1"/>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formula0">
    <w:name w:val="formula"/>
    <w:basedOn w:val="Normal"/>
    <w:rsid w:val="00B311F1"/>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Boxed">
    <w:name w:val="Boxed"/>
    <w:basedOn w:val="Normal"/>
    <w:link w:val="BoxedChar"/>
    <w:qFormat/>
    <w:rsid w:val="00D12660"/>
    <w:pPr>
      <w:spacing w:line="288" w:lineRule="auto"/>
    </w:pPr>
    <w:rPr>
      <w:rFonts w:eastAsia="Times New Roman" w:cs="Times New Roman"/>
      <w:sz w:val="20"/>
      <w:szCs w:val="18"/>
      <w:lang w:val="en-GB"/>
    </w:rPr>
  </w:style>
  <w:style w:type="character" w:customStyle="1" w:styleId="BoxedChar">
    <w:name w:val="Boxed Char"/>
    <w:basedOn w:val="DefaultParagraphFont"/>
    <w:link w:val="Boxed"/>
    <w:rsid w:val="00D12660"/>
    <w:rPr>
      <w:rFonts w:eastAsia="Times New Roman" w:cs="Times New Roman"/>
      <w:sz w:val="20"/>
      <w:szCs w:val="18"/>
      <w:lang w:val="en-GB"/>
    </w:rPr>
  </w:style>
  <w:style w:type="paragraph" w:customStyle="1" w:styleId="Body1">
    <w:name w:val="Body 1"/>
    <w:rsid w:val="002415C6"/>
    <w:pPr>
      <w:spacing w:after="0" w:line="240" w:lineRule="auto"/>
    </w:pPr>
    <w:rPr>
      <w:rFonts w:ascii="Helvetica" w:eastAsia="Arial Unicode MS" w:hAnsi="Helvetica" w:cs="Times New Roman"/>
      <w:color w:val="000000"/>
      <w:sz w:val="24"/>
      <w:szCs w:val="20"/>
      <w:lang w:eastAsia="en-AU"/>
    </w:rPr>
  </w:style>
  <w:style w:type="table" w:styleId="MediumShading2-Accent3">
    <w:name w:val="Medium Shading 2 Accent 3"/>
    <w:basedOn w:val="TableNormal"/>
    <w:uiPriority w:val="64"/>
    <w:rsid w:val="0020010D"/>
    <w:pPr>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googqs-tidbit1">
    <w:name w:val="goog_qs-tidbit1"/>
    <w:rsid w:val="00F04042"/>
    <w:rPr>
      <w:vanish w:val="0"/>
      <w:webHidden w:val="0"/>
      <w:specVanish w:val="0"/>
    </w:rPr>
  </w:style>
  <w:style w:type="character" w:styleId="CommentReference">
    <w:name w:val="annotation reference"/>
    <w:uiPriority w:val="99"/>
    <w:semiHidden/>
    <w:unhideWhenUsed/>
    <w:rsid w:val="007025FE"/>
    <w:rPr>
      <w:sz w:val="16"/>
      <w:szCs w:val="16"/>
    </w:rPr>
  </w:style>
  <w:style w:type="paragraph" w:styleId="CommentText">
    <w:name w:val="annotation text"/>
    <w:basedOn w:val="Normal"/>
    <w:link w:val="CommentTextChar"/>
    <w:uiPriority w:val="99"/>
    <w:unhideWhenUsed/>
    <w:rsid w:val="007025FE"/>
    <w:pPr>
      <w:spacing w:line="240" w:lineRule="auto"/>
    </w:pPr>
    <w:rPr>
      <w:rFonts w:ascii="Calibri" w:eastAsia="Calibri" w:hAnsi="Calibri" w:cs="Times New Roman"/>
      <w:sz w:val="20"/>
      <w:szCs w:val="20"/>
      <w:lang w:val="en-AU"/>
    </w:rPr>
  </w:style>
  <w:style w:type="character" w:customStyle="1" w:styleId="CommentTextChar">
    <w:name w:val="Comment Text Char"/>
    <w:basedOn w:val="DefaultParagraphFont"/>
    <w:link w:val="CommentText"/>
    <w:uiPriority w:val="99"/>
    <w:rsid w:val="007025FE"/>
    <w:rPr>
      <w:rFonts w:ascii="Calibri" w:eastAsia="Calibri" w:hAnsi="Calibri" w:cs="Times New Roman"/>
      <w:sz w:val="20"/>
      <w:szCs w:val="20"/>
    </w:rPr>
  </w:style>
  <w:style w:type="paragraph" w:customStyle="1" w:styleId="Bulletparagraphs">
    <w:name w:val="Bullet paragraphs"/>
    <w:basedOn w:val="Normal"/>
    <w:link w:val="BulletparagraphsChar"/>
    <w:rsid w:val="007025FE"/>
    <w:pPr>
      <w:numPr>
        <w:numId w:val="7"/>
      </w:numPr>
      <w:tabs>
        <w:tab w:val="clear" w:pos="850"/>
      </w:tabs>
      <w:autoSpaceDE w:val="0"/>
      <w:autoSpaceDN w:val="0"/>
      <w:adjustRightInd w:val="0"/>
      <w:spacing w:line="260" w:lineRule="atLeast"/>
      <w:ind w:left="708" w:hanging="459"/>
    </w:pPr>
    <w:rPr>
      <w:rFonts w:ascii="Arial" w:eastAsia="MS Mincho" w:hAnsi="Arial" w:cs="Arial"/>
      <w:sz w:val="20"/>
      <w:szCs w:val="24"/>
      <w:lang w:val="en-AU"/>
    </w:rPr>
  </w:style>
  <w:style w:type="character" w:customStyle="1" w:styleId="BulletparagraphsChar">
    <w:name w:val="Bullet paragraphs Char"/>
    <w:link w:val="Bulletparagraphs"/>
    <w:rsid w:val="007025FE"/>
    <w:rPr>
      <w:rFonts w:ascii="Arial" w:eastAsia="MS Mincho" w:hAnsi="Arial" w:cs="Arial"/>
      <w:sz w:val="20"/>
      <w:szCs w:val="24"/>
    </w:rPr>
  </w:style>
  <w:style w:type="character" w:customStyle="1" w:styleId="linktext">
    <w:name w:val="linktext"/>
    <w:basedOn w:val="DefaultParagraphFont"/>
    <w:rsid w:val="00647915"/>
    <w:rPr>
      <w:vanish/>
      <w:webHidden w:val="0"/>
      <w:specVanish w:val="0"/>
    </w:rPr>
  </w:style>
  <w:style w:type="paragraph" w:customStyle="1" w:styleId="notetopara">
    <w:name w:val="notetopara"/>
    <w:basedOn w:val="Normal"/>
    <w:rsid w:val="00647915"/>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MessageHeaderLabel">
    <w:name w:val="Message Header Label"/>
    <w:rsid w:val="004142E4"/>
    <w:rPr>
      <w:rFonts w:ascii="Arial Black" w:hAnsi="Arial Black"/>
      <w:spacing w:val="-10"/>
      <w:sz w:val="18"/>
    </w:rPr>
  </w:style>
  <w:style w:type="character" w:customStyle="1" w:styleId="Heading7Char">
    <w:name w:val="Heading 7 Char"/>
    <w:basedOn w:val="DefaultParagraphFont"/>
    <w:link w:val="Heading7"/>
    <w:uiPriority w:val="9"/>
    <w:rsid w:val="001F4D72"/>
    <w:rPr>
      <w:rFonts w:asciiTheme="majorHAnsi" w:eastAsiaTheme="majorEastAsia" w:hAnsiTheme="majorHAnsi" w:cstheme="majorBidi"/>
      <w:i/>
      <w:iCs/>
      <w:color w:val="404040" w:themeColor="text1" w:themeTint="BF"/>
      <w:sz w:val="21"/>
      <w:lang w:val="en-NZ"/>
    </w:rPr>
  </w:style>
  <w:style w:type="paragraph" w:customStyle="1" w:styleId="BodyText10">
    <w:name w:val="Body Text1"/>
    <w:basedOn w:val="Normal"/>
    <w:rsid w:val="00F12CAB"/>
    <w:pPr>
      <w:spacing w:line="260" w:lineRule="atLeast"/>
    </w:pPr>
    <w:rPr>
      <w:rFonts w:ascii="Arial" w:eastAsia="MS Mincho" w:hAnsi="Arial" w:cs="Arial"/>
      <w:sz w:val="20"/>
      <w:szCs w:val="24"/>
      <w:lang w:val="en-AU"/>
    </w:rPr>
  </w:style>
  <w:style w:type="paragraph" w:customStyle="1" w:styleId="BasicParagraph">
    <w:name w:val="[Basic Paragraph]"/>
    <w:basedOn w:val="Normal"/>
    <w:uiPriority w:val="99"/>
    <w:rsid w:val="00A367E1"/>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en-GB"/>
    </w:rPr>
  </w:style>
  <w:style w:type="table" w:styleId="PlainTable3">
    <w:name w:val="Plain Table 3"/>
    <w:basedOn w:val="TableNormal"/>
    <w:uiPriority w:val="99"/>
    <w:rsid w:val="003648D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UnresolvedMention">
    <w:name w:val="Unresolved Mention"/>
    <w:basedOn w:val="DefaultParagraphFont"/>
    <w:uiPriority w:val="99"/>
    <w:unhideWhenUsed/>
    <w:rsid w:val="00E203CE"/>
    <w:rPr>
      <w:color w:val="605E5C"/>
      <w:shd w:val="clear" w:color="auto" w:fill="E1DFDD"/>
    </w:rPr>
  </w:style>
  <w:style w:type="paragraph" w:customStyle="1" w:styleId="MediumShading1-Accent31">
    <w:name w:val="Medium Shading 1 - Accent 31"/>
    <w:basedOn w:val="Normal"/>
    <w:next w:val="Normal"/>
    <w:link w:val="MediumShading1-Accent3Char"/>
    <w:uiPriority w:val="29"/>
    <w:rsid w:val="004804C8"/>
    <w:pPr>
      <w:ind w:left="567" w:right="567"/>
    </w:pPr>
    <w:rPr>
      <w:rFonts w:ascii="Calibri" w:eastAsia="Calibri" w:hAnsi="Calibri" w:cs="Times New Roman"/>
      <w:i/>
      <w:iCs/>
      <w:color w:val="000000"/>
      <w:sz w:val="20"/>
      <w:szCs w:val="20"/>
      <w:lang w:eastAsia="x-none"/>
    </w:rPr>
  </w:style>
  <w:style w:type="character" w:customStyle="1" w:styleId="MediumShading1-Accent3Char">
    <w:name w:val="Medium Shading 1 - Accent 3 Char"/>
    <w:link w:val="MediumShading1-Accent31"/>
    <w:uiPriority w:val="29"/>
    <w:rsid w:val="004804C8"/>
    <w:rPr>
      <w:rFonts w:ascii="Calibri" w:eastAsia="Calibri" w:hAnsi="Calibri" w:cs="Times New Roman"/>
      <w:i/>
      <w:iCs/>
      <w:color w:val="000000"/>
      <w:sz w:val="20"/>
      <w:szCs w:val="20"/>
      <w:lang w:val="en-NZ" w:eastAsia="x-none"/>
    </w:rPr>
  </w:style>
  <w:style w:type="paragraph" w:customStyle="1" w:styleId="LightGrid-Accent31">
    <w:name w:val="Light Grid - Accent 31"/>
    <w:basedOn w:val="Normal"/>
    <w:uiPriority w:val="34"/>
    <w:rsid w:val="004804C8"/>
    <w:pPr>
      <w:numPr>
        <w:numId w:val="9"/>
      </w:numPr>
      <w:ind w:left="568" w:hanging="284"/>
      <w:contextualSpacing/>
    </w:pPr>
    <w:rPr>
      <w:rFonts w:ascii="Calibri" w:eastAsia="Calibri" w:hAnsi="Calibri" w:cs="Times New Roman"/>
      <w:sz w:val="20"/>
    </w:rPr>
  </w:style>
  <w:style w:type="character" w:customStyle="1" w:styleId="PlainTable31">
    <w:name w:val="Plain Table 31"/>
    <w:uiPriority w:val="19"/>
    <w:rsid w:val="004804C8"/>
    <w:rPr>
      <w:i/>
      <w:iCs/>
      <w:color w:val="404040"/>
    </w:rPr>
  </w:style>
  <w:style w:type="paragraph" w:customStyle="1" w:styleId="GridTable31">
    <w:name w:val="Grid Table 31"/>
    <w:basedOn w:val="Heading1"/>
    <w:next w:val="Normal"/>
    <w:uiPriority w:val="39"/>
    <w:rsid w:val="004804C8"/>
    <w:pPr>
      <w:spacing w:after="0" w:line="276" w:lineRule="auto"/>
      <w:outlineLvl w:val="9"/>
    </w:pPr>
    <w:rPr>
      <w:rFonts w:ascii="Cambria" w:eastAsia="Times New Roman" w:hAnsi="Cambria" w:cs="Times New Roman"/>
      <w:b/>
      <w:caps/>
      <w:color w:val="365F91"/>
      <w:sz w:val="28"/>
      <w:lang w:val="en-US" w:eastAsia="x-none"/>
    </w:rPr>
  </w:style>
  <w:style w:type="paragraph" w:customStyle="1" w:styleId="MediumGrid21">
    <w:name w:val="Medium Grid 21"/>
    <w:uiPriority w:val="1"/>
    <w:rsid w:val="004804C8"/>
    <w:pPr>
      <w:spacing w:after="0" w:line="240" w:lineRule="auto"/>
    </w:pPr>
    <w:rPr>
      <w:rFonts w:ascii="Calibri" w:eastAsia="Calibri" w:hAnsi="Calibri" w:cs="Times New Roman"/>
      <w:sz w:val="21"/>
      <w:lang w:val="en-NZ"/>
    </w:rPr>
  </w:style>
  <w:style w:type="table" w:styleId="MediumGrid3-Accent1">
    <w:name w:val="Medium Grid 3 Accent 1"/>
    <w:basedOn w:val="TableNormal"/>
    <w:uiPriority w:val="60"/>
    <w:rsid w:val="004804C8"/>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googqs-tidbit">
    <w:name w:val="goog_qs-tidbit"/>
    <w:basedOn w:val="DefaultParagraphFont"/>
    <w:rsid w:val="004804C8"/>
  </w:style>
  <w:style w:type="paragraph" w:customStyle="1" w:styleId="ms-rteelement-p">
    <w:name w:val="ms-rteelement-p"/>
    <w:basedOn w:val="Normal"/>
    <w:rsid w:val="004804C8"/>
    <w:pPr>
      <w:spacing w:line="240" w:lineRule="auto"/>
    </w:pPr>
    <w:rPr>
      <w:rFonts w:ascii="Arial" w:eastAsia="Times New Roman" w:hAnsi="Arial" w:cs="Arial"/>
      <w:color w:val="576170"/>
      <w:sz w:val="20"/>
      <w:szCs w:val="20"/>
      <w:lang w:val="en-AU" w:eastAsia="en-AU"/>
    </w:rPr>
  </w:style>
  <w:style w:type="paragraph" w:customStyle="1" w:styleId="bullet0">
    <w:name w:val="bullet"/>
    <w:basedOn w:val="Normal"/>
    <w:rsid w:val="004804C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z-TopofForm">
    <w:name w:val="HTML Top of Form"/>
    <w:basedOn w:val="Normal"/>
    <w:next w:val="Normal"/>
    <w:link w:val="z-TopofFormChar"/>
    <w:hidden/>
    <w:uiPriority w:val="99"/>
    <w:semiHidden/>
    <w:unhideWhenUsed/>
    <w:rsid w:val="004804C8"/>
    <w:pPr>
      <w:pBdr>
        <w:bottom w:val="single" w:sz="6" w:space="1" w:color="auto"/>
      </w:pBdr>
      <w:spacing w:line="240" w:lineRule="auto"/>
      <w:jc w:val="center"/>
    </w:pPr>
    <w:rPr>
      <w:rFonts w:ascii="Arial" w:eastAsia="Times New Roman" w:hAnsi="Arial" w:cs="Times New Roman"/>
      <w:vanish/>
      <w:sz w:val="16"/>
      <w:szCs w:val="16"/>
      <w:lang w:val="x-none" w:eastAsia="x-none"/>
    </w:rPr>
  </w:style>
  <w:style w:type="character" w:customStyle="1" w:styleId="z-TopofFormChar">
    <w:name w:val="z-Top of Form Char"/>
    <w:basedOn w:val="DefaultParagraphFont"/>
    <w:link w:val="z-TopofForm"/>
    <w:uiPriority w:val="99"/>
    <w:semiHidden/>
    <w:rsid w:val="004804C8"/>
    <w:rPr>
      <w:rFonts w:ascii="Arial" w:eastAsia="Times New Roman" w:hAnsi="Arial" w:cs="Times New Roman"/>
      <w:vanish/>
      <w:sz w:val="16"/>
      <w:szCs w:val="16"/>
      <w:lang w:val="x-none" w:eastAsia="x-none"/>
    </w:rPr>
  </w:style>
  <w:style w:type="paragraph" w:styleId="z-BottomofForm">
    <w:name w:val="HTML Bottom of Form"/>
    <w:basedOn w:val="Normal"/>
    <w:next w:val="Normal"/>
    <w:link w:val="z-BottomofFormChar"/>
    <w:hidden/>
    <w:uiPriority w:val="99"/>
    <w:semiHidden/>
    <w:unhideWhenUsed/>
    <w:rsid w:val="004804C8"/>
    <w:pPr>
      <w:pBdr>
        <w:top w:val="single" w:sz="6" w:space="1" w:color="auto"/>
      </w:pBdr>
      <w:spacing w:line="240" w:lineRule="auto"/>
      <w:jc w:val="center"/>
    </w:pPr>
    <w:rPr>
      <w:rFonts w:ascii="Arial" w:eastAsia="Times New Roman" w:hAnsi="Arial" w:cs="Times New Roman"/>
      <w:vanish/>
      <w:sz w:val="16"/>
      <w:szCs w:val="16"/>
      <w:lang w:val="x-none" w:eastAsia="x-none"/>
    </w:rPr>
  </w:style>
  <w:style w:type="character" w:customStyle="1" w:styleId="z-BottomofFormChar">
    <w:name w:val="z-Bottom of Form Char"/>
    <w:basedOn w:val="DefaultParagraphFont"/>
    <w:link w:val="z-BottomofForm"/>
    <w:uiPriority w:val="99"/>
    <w:semiHidden/>
    <w:rsid w:val="004804C8"/>
    <w:rPr>
      <w:rFonts w:ascii="Arial" w:eastAsia="Times New Roman" w:hAnsi="Arial" w:cs="Times New Roman"/>
      <w:vanish/>
      <w:sz w:val="16"/>
      <w:szCs w:val="16"/>
      <w:lang w:val="x-none" w:eastAsia="x-none"/>
    </w:rPr>
  </w:style>
  <w:style w:type="paragraph" w:customStyle="1" w:styleId="MediumGrid1-Accent21">
    <w:name w:val="Medium Grid 1 - Accent 21"/>
    <w:basedOn w:val="Normal"/>
    <w:uiPriority w:val="34"/>
    <w:rsid w:val="004804C8"/>
    <w:pPr>
      <w:numPr>
        <w:numId w:val="10"/>
      </w:numPr>
      <w:contextualSpacing/>
    </w:pPr>
    <w:rPr>
      <w:rFonts w:ascii="Calibri" w:eastAsia="Calibri" w:hAnsi="Calibri" w:cs="Times New Roman"/>
      <w:sz w:val="20"/>
      <w:lang w:val="en-AU"/>
    </w:rPr>
  </w:style>
  <w:style w:type="table" w:customStyle="1" w:styleId="TableGrid6">
    <w:name w:val="Table Grid6"/>
    <w:basedOn w:val="TableNormal"/>
    <w:next w:val="TableGrid"/>
    <w:uiPriority w:val="59"/>
    <w:rsid w:val="004804C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wordWrap/>
        <w:spacing w:beforeLines="0" w:beforeAutospacing="0" w:afterLines="0" w:afterAutospacing="0"/>
      </w:pPr>
    </w:tblStylePr>
  </w:style>
  <w:style w:type="paragraph" w:customStyle="1" w:styleId="r2">
    <w:name w:val="r2"/>
    <w:basedOn w:val="Normal"/>
    <w:rsid w:val="004804C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p10">
    <w:name w:val="p1"/>
    <w:basedOn w:val="Normal"/>
    <w:rsid w:val="004804C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p2">
    <w:name w:val="p2"/>
    <w:basedOn w:val="Normal"/>
    <w:rsid w:val="004804C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p3">
    <w:name w:val="p3"/>
    <w:basedOn w:val="Normal"/>
    <w:rsid w:val="004804C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r1">
    <w:name w:val="r1"/>
    <w:basedOn w:val="Normal"/>
    <w:rsid w:val="004804C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zr2">
    <w:name w:val="zr2"/>
    <w:basedOn w:val="Normal"/>
    <w:rsid w:val="004804C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ColorfulList-Accent11">
    <w:name w:val="Colorful List - Accent 11"/>
    <w:basedOn w:val="Normal"/>
    <w:uiPriority w:val="34"/>
    <w:rsid w:val="004804C8"/>
    <w:pPr>
      <w:ind w:left="1440" w:hanging="360"/>
      <w:contextualSpacing/>
    </w:pPr>
    <w:rPr>
      <w:rFonts w:ascii="Calibri" w:eastAsia="Calibri" w:hAnsi="Calibri" w:cs="Times New Roman"/>
      <w:sz w:val="20"/>
    </w:rPr>
  </w:style>
  <w:style w:type="table" w:customStyle="1" w:styleId="MediumList11">
    <w:name w:val="Medium List 11"/>
    <w:basedOn w:val="TableNormal"/>
    <w:uiPriority w:val="65"/>
    <w:rsid w:val="004804C8"/>
    <w:pPr>
      <w:spacing w:after="0" w:line="240" w:lineRule="auto"/>
    </w:pPr>
    <w:rPr>
      <w:rFonts w:ascii="Calibri" w:eastAsia="Calibri" w:hAnsi="Calibri" w:cs="Times New Roman"/>
      <w:color w:val="000000"/>
      <w:sz w:val="24"/>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F2F2F2"/>
      </w:tcPr>
    </w:tblStylePr>
  </w:style>
  <w:style w:type="table" w:customStyle="1" w:styleId="ListTable5Dark-Accent11">
    <w:name w:val="List Table 5 Dark - Accent 11"/>
    <w:basedOn w:val="TableNormal"/>
    <w:uiPriority w:val="50"/>
    <w:rsid w:val="004804C8"/>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KSworkbooktable">
    <w:name w:val="KS workbook table"/>
    <w:basedOn w:val="TableNormal"/>
    <w:uiPriority w:val="60"/>
    <w:rsid w:val="00D12660"/>
    <w:pPr>
      <w:spacing w:after="0" w:line="288" w:lineRule="auto"/>
    </w:pPr>
    <w:rPr>
      <w:color w:val="000000" w:themeColor="text1" w:themeShade="BF"/>
      <w:sz w:val="19"/>
    </w:rPr>
    <w:tblPr>
      <w:tblStyleRowBandSize w:val="1"/>
      <w:tblStyleColBandSize w:val="1"/>
      <w:tblBorders>
        <w:top w:val="single" w:sz="8" w:space="0" w:color="000000" w:themeColor="text1"/>
        <w:insideH w:val="dotted" w:sz="4" w:space="0" w:color="A6A6A6" w:themeColor="background1" w:themeShade="A6"/>
        <w:insideV w:val="dotted" w:sz="4" w:space="0" w:color="A6A6A6" w:themeColor="background1" w:themeShade="A6"/>
      </w:tblBorders>
    </w:tblPr>
    <w:tblStylePr w:type="firstRow">
      <w:pPr>
        <w:spacing w:before="0" w:after="0" w:line="240" w:lineRule="auto"/>
      </w:pPr>
      <w:rPr>
        <w:rFonts w:asciiTheme="minorHAnsi" w:hAnsiTheme="minorHAnsi"/>
        <w:b/>
        <w:bCs/>
        <w:i w:val="0"/>
        <w:color w:val="auto"/>
        <w:sz w:val="20"/>
      </w:rPr>
      <w:tblPr/>
      <w:tcPr>
        <w:tcBorders>
          <w:top w:val="single" w:sz="4" w:space="0" w:color="auto"/>
          <w:left w:val="single" w:sz="4" w:space="0" w:color="BFBFBF" w:themeColor="background1" w:themeShade="BF"/>
          <w:bottom w:val="single" w:sz="4" w:space="0" w:color="auto"/>
          <w:right w:val="single" w:sz="4" w:space="0" w:color="BFBFBF" w:themeColor="background1" w:themeShade="BF"/>
          <w:insideH w:val="single" w:sz="4" w:space="0" w:color="BFBFBF" w:themeColor="background1" w:themeShade="BF"/>
          <w:insideV w:val="single" w:sz="4" w:space="0" w:color="BFBFBF" w:themeColor="background1" w:themeShade="BF"/>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rPr>
        <w:rFonts w:ascii="Univers (W1)" w:hAnsi="Univers (W1)"/>
        <w:b w:val="0"/>
        <w:i w:val="0"/>
        <w:sz w:val="19"/>
      </w:rPr>
      <w:tblPr/>
      <w:tcPr>
        <w:shd w:val="clear" w:color="auto" w:fill="F2F2F2" w:themeFill="background1" w:themeFillShade="F2"/>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tcPr>
    </w:tblStylePr>
  </w:style>
  <w:style w:type="character" w:customStyle="1" w:styleId="UnresolvedMention1">
    <w:name w:val="Unresolved Mention1"/>
    <w:basedOn w:val="DefaultParagraphFont"/>
    <w:uiPriority w:val="99"/>
    <w:semiHidden/>
    <w:unhideWhenUsed/>
    <w:rsid w:val="004804C8"/>
    <w:rPr>
      <w:color w:val="808080"/>
      <w:shd w:val="clear" w:color="auto" w:fill="E6E6E6"/>
    </w:rPr>
  </w:style>
  <w:style w:type="character" w:customStyle="1" w:styleId="UnresolvedMention2">
    <w:name w:val="Unresolved Mention2"/>
    <w:basedOn w:val="DefaultParagraphFont"/>
    <w:uiPriority w:val="99"/>
    <w:rsid w:val="004804C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804C8"/>
    <w:rPr>
      <w:b/>
      <w:bCs/>
      <w:lang w:val="en-NZ"/>
    </w:rPr>
  </w:style>
  <w:style w:type="character" w:customStyle="1" w:styleId="CommentSubjectChar">
    <w:name w:val="Comment Subject Char"/>
    <w:basedOn w:val="CommentTextChar"/>
    <w:link w:val="CommentSubject"/>
    <w:uiPriority w:val="99"/>
    <w:semiHidden/>
    <w:rsid w:val="004804C8"/>
    <w:rPr>
      <w:rFonts w:ascii="Calibri" w:eastAsia="Calibri" w:hAnsi="Calibri" w:cs="Times New Roman"/>
      <w:b/>
      <w:bCs/>
      <w:sz w:val="20"/>
      <w:szCs w:val="20"/>
      <w:lang w:val="en-NZ"/>
    </w:rPr>
  </w:style>
  <w:style w:type="table" w:styleId="PlainTable1">
    <w:name w:val="Plain Table 1"/>
    <w:basedOn w:val="TableNormal"/>
    <w:uiPriority w:val="99"/>
    <w:rsid w:val="00EB0CC2"/>
    <w:pPr>
      <w:spacing w:after="0" w:line="240" w:lineRule="auto"/>
    </w:pPr>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E7F6FD"/>
      </w:tcPr>
    </w:tblStylePr>
  </w:style>
  <w:style w:type="table" w:styleId="GridTable1Light-Accent1">
    <w:name w:val="Grid Table 1 Light Accent 1"/>
    <w:aliases w:val="TaxBytes Table"/>
    <w:basedOn w:val="TableNormal"/>
    <w:uiPriority w:val="46"/>
    <w:rsid w:val="002E78B7"/>
    <w:pPr>
      <w:spacing w:after="0" w:line="240" w:lineRule="auto"/>
    </w:pPr>
    <w:rPr>
      <w:rFonts w:eastAsia="Calibri" w:cs="Times New Roman (Body CS)"/>
      <w:sz w:val="20"/>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cantSplit/>
    </w:trPr>
    <w:tcPr>
      <w:shd w:val="clear" w:color="auto" w:fill="auto"/>
    </w:tcPr>
    <w:tblStylePr w:type="firstRow">
      <w:rPr>
        <w:rFonts w:asciiTheme="minorHAnsi" w:hAnsiTheme="minorHAnsi"/>
        <w:b/>
        <w:bCs/>
      </w:rPr>
      <w:tblPr/>
      <w:tcPr>
        <w:shd w:val="clear" w:color="auto" w:fill="002060"/>
      </w:tcPr>
    </w:tblStylePr>
    <w:tblStylePr w:type="lastRow">
      <w:rPr>
        <w:b/>
        <w:bCs/>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auto"/>
      </w:tcPr>
    </w:tblStylePr>
    <w:tblStylePr w:type="firstCol">
      <w:rPr>
        <w:rFonts w:asciiTheme="minorHAnsi" w:hAnsiTheme="minorHAnsi"/>
        <w:b/>
        <w:bCs/>
        <w:sz w:val="20"/>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auto"/>
      </w:tcPr>
    </w:tblStylePr>
    <w:tblStylePr w:type="lastCol">
      <w:rPr>
        <w:b/>
        <w:bCs/>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auto"/>
      </w:tcPr>
    </w:tblStyle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auto"/>
      </w:tcPr>
    </w:tblStylePr>
    <w:tblStylePr w:type="band2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auto"/>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auto"/>
      </w:tcPr>
    </w:tblStylePr>
    <w:tblStylePr w:type="band2Horz">
      <w:rPr>
        <w:rFonts w:asciiTheme="minorHAnsi" w:hAnsiTheme="minorHAnsi"/>
      </w:rPr>
      <w:tblPr/>
      <w:tcPr>
        <w:shd w:val="clear" w:color="auto" w:fill="E7F6FD"/>
      </w:tcPr>
    </w:tblStylePr>
    <w:tblStylePr w:type="neCell">
      <w:rPr>
        <w:rFonts w:asciiTheme="minorHAnsi" w:hAnsiTheme="minorHAnsi"/>
      </w:rPr>
      <w:tblPr/>
      <w:tcPr>
        <w:shd w:val="clear" w:color="auto" w:fill="002060"/>
      </w:tcPr>
    </w:tblStylePr>
    <w:tblStylePr w:type="nwCell">
      <w:rPr>
        <w:rFonts w:asciiTheme="minorHAnsi" w:hAnsiTheme="minorHAnsi"/>
        <w:b/>
      </w:rPr>
      <w:tblPr/>
      <w:tcPr>
        <w:shd w:val="clear" w:color="auto" w:fill="002060"/>
      </w:tcPr>
    </w:tblStylePr>
    <w:tblStylePr w:type="seCell">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auto"/>
      </w:tcPr>
    </w:tblStylePr>
    <w:tblStylePr w:type="swCell">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auto"/>
      </w:tcPr>
    </w:tblStylePr>
  </w:style>
  <w:style w:type="numbering" w:customStyle="1" w:styleId="KSNumberChecklist">
    <w:name w:val="KS Number Checklist"/>
    <w:uiPriority w:val="99"/>
    <w:rsid w:val="002E78B7"/>
    <w:pPr>
      <w:numPr>
        <w:numId w:val="13"/>
      </w:numPr>
    </w:pPr>
  </w:style>
  <w:style w:type="paragraph" w:styleId="Revision">
    <w:name w:val="Revision"/>
    <w:hidden/>
    <w:uiPriority w:val="99"/>
    <w:semiHidden/>
    <w:rsid w:val="00113DE7"/>
    <w:pPr>
      <w:spacing w:after="0" w:line="240" w:lineRule="auto"/>
    </w:pPr>
    <w:rPr>
      <w:color w:val="1C2334"/>
      <w:sz w:val="21"/>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069">
      <w:bodyDiv w:val="1"/>
      <w:marLeft w:val="0"/>
      <w:marRight w:val="0"/>
      <w:marTop w:val="0"/>
      <w:marBottom w:val="0"/>
      <w:divBdr>
        <w:top w:val="none" w:sz="0" w:space="0" w:color="auto"/>
        <w:left w:val="none" w:sz="0" w:space="0" w:color="auto"/>
        <w:bottom w:val="none" w:sz="0" w:space="0" w:color="auto"/>
        <w:right w:val="none" w:sz="0" w:space="0" w:color="auto"/>
      </w:divBdr>
    </w:div>
    <w:div w:id="18088638">
      <w:bodyDiv w:val="1"/>
      <w:marLeft w:val="0"/>
      <w:marRight w:val="0"/>
      <w:marTop w:val="0"/>
      <w:marBottom w:val="0"/>
      <w:divBdr>
        <w:top w:val="none" w:sz="0" w:space="0" w:color="auto"/>
        <w:left w:val="none" w:sz="0" w:space="0" w:color="auto"/>
        <w:bottom w:val="none" w:sz="0" w:space="0" w:color="auto"/>
        <w:right w:val="none" w:sz="0" w:space="0" w:color="auto"/>
      </w:divBdr>
      <w:divsChild>
        <w:div w:id="358285879">
          <w:marLeft w:val="0"/>
          <w:marRight w:val="0"/>
          <w:marTop w:val="0"/>
          <w:marBottom w:val="0"/>
          <w:divBdr>
            <w:top w:val="none" w:sz="0" w:space="0" w:color="auto"/>
            <w:left w:val="none" w:sz="0" w:space="0" w:color="auto"/>
            <w:bottom w:val="none" w:sz="0" w:space="0" w:color="auto"/>
            <w:right w:val="none" w:sz="0" w:space="0" w:color="auto"/>
          </w:divBdr>
          <w:divsChild>
            <w:div w:id="1088115975">
              <w:marLeft w:val="0"/>
              <w:marRight w:val="0"/>
              <w:marTop w:val="0"/>
              <w:marBottom w:val="0"/>
              <w:divBdr>
                <w:top w:val="none" w:sz="0" w:space="0" w:color="auto"/>
                <w:left w:val="none" w:sz="0" w:space="0" w:color="auto"/>
                <w:bottom w:val="none" w:sz="0" w:space="0" w:color="auto"/>
                <w:right w:val="none" w:sz="0" w:space="0" w:color="auto"/>
              </w:divBdr>
            </w:div>
          </w:divsChild>
        </w:div>
        <w:div w:id="769205477">
          <w:marLeft w:val="0"/>
          <w:marRight w:val="0"/>
          <w:marTop w:val="0"/>
          <w:marBottom w:val="0"/>
          <w:divBdr>
            <w:top w:val="none" w:sz="0" w:space="0" w:color="auto"/>
            <w:left w:val="none" w:sz="0" w:space="0" w:color="auto"/>
            <w:bottom w:val="none" w:sz="0" w:space="0" w:color="auto"/>
            <w:right w:val="none" w:sz="0" w:space="0" w:color="auto"/>
          </w:divBdr>
          <w:divsChild>
            <w:div w:id="50154249">
              <w:marLeft w:val="0"/>
              <w:marRight w:val="0"/>
              <w:marTop w:val="0"/>
              <w:marBottom w:val="0"/>
              <w:divBdr>
                <w:top w:val="none" w:sz="0" w:space="0" w:color="auto"/>
                <w:left w:val="none" w:sz="0" w:space="0" w:color="auto"/>
                <w:bottom w:val="none" w:sz="0" w:space="0" w:color="auto"/>
                <w:right w:val="none" w:sz="0" w:space="0" w:color="auto"/>
              </w:divBdr>
            </w:div>
          </w:divsChild>
        </w:div>
        <w:div w:id="569507912">
          <w:marLeft w:val="0"/>
          <w:marRight w:val="0"/>
          <w:marTop w:val="0"/>
          <w:marBottom w:val="0"/>
          <w:divBdr>
            <w:top w:val="none" w:sz="0" w:space="0" w:color="auto"/>
            <w:left w:val="none" w:sz="0" w:space="0" w:color="auto"/>
            <w:bottom w:val="none" w:sz="0" w:space="0" w:color="auto"/>
            <w:right w:val="none" w:sz="0" w:space="0" w:color="auto"/>
          </w:divBdr>
          <w:divsChild>
            <w:div w:id="50661344">
              <w:marLeft w:val="0"/>
              <w:marRight w:val="0"/>
              <w:marTop w:val="0"/>
              <w:marBottom w:val="0"/>
              <w:divBdr>
                <w:top w:val="none" w:sz="0" w:space="0" w:color="auto"/>
                <w:left w:val="none" w:sz="0" w:space="0" w:color="auto"/>
                <w:bottom w:val="none" w:sz="0" w:space="0" w:color="auto"/>
                <w:right w:val="none" w:sz="0" w:space="0" w:color="auto"/>
              </w:divBdr>
            </w:div>
          </w:divsChild>
        </w:div>
        <w:div w:id="2106998103">
          <w:marLeft w:val="0"/>
          <w:marRight w:val="0"/>
          <w:marTop w:val="0"/>
          <w:marBottom w:val="0"/>
          <w:divBdr>
            <w:top w:val="none" w:sz="0" w:space="0" w:color="auto"/>
            <w:left w:val="none" w:sz="0" w:space="0" w:color="auto"/>
            <w:bottom w:val="none" w:sz="0" w:space="0" w:color="auto"/>
            <w:right w:val="none" w:sz="0" w:space="0" w:color="auto"/>
          </w:divBdr>
          <w:divsChild>
            <w:div w:id="1097560632">
              <w:marLeft w:val="0"/>
              <w:marRight w:val="0"/>
              <w:marTop w:val="0"/>
              <w:marBottom w:val="0"/>
              <w:divBdr>
                <w:top w:val="none" w:sz="0" w:space="0" w:color="auto"/>
                <w:left w:val="none" w:sz="0" w:space="0" w:color="auto"/>
                <w:bottom w:val="none" w:sz="0" w:space="0" w:color="auto"/>
                <w:right w:val="none" w:sz="0" w:space="0" w:color="auto"/>
              </w:divBdr>
            </w:div>
          </w:divsChild>
        </w:div>
        <w:div w:id="855727552">
          <w:marLeft w:val="0"/>
          <w:marRight w:val="0"/>
          <w:marTop w:val="0"/>
          <w:marBottom w:val="0"/>
          <w:divBdr>
            <w:top w:val="none" w:sz="0" w:space="0" w:color="auto"/>
            <w:left w:val="none" w:sz="0" w:space="0" w:color="auto"/>
            <w:bottom w:val="none" w:sz="0" w:space="0" w:color="auto"/>
            <w:right w:val="none" w:sz="0" w:space="0" w:color="auto"/>
          </w:divBdr>
          <w:divsChild>
            <w:div w:id="976450466">
              <w:marLeft w:val="0"/>
              <w:marRight w:val="0"/>
              <w:marTop w:val="0"/>
              <w:marBottom w:val="0"/>
              <w:divBdr>
                <w:top w:val="none" w:sz="0" w:space="0" w:color="auto"/>
                <w:left w:val="none" w:sz="0" w:space="0" w:color="auto"/>
                <w:bottom w:val="none" w:sz="0" w:space="0" w:color="auto"/>
                <w:right w:val="none" w:sz="0" w:space="0" w:color="auto"/>
              </w:divBdr>
            </w:div>
          </w:divsChild>
        </w:div>
        <w:div w:id="697238937">
          <w:marLeft w:val="0"/>
          <w:marRight w:val="0"/>
          <w:marTop w:val="0"/>
          <w:marBottom w:val="0"/>
          <w:divBdr>
            <w:top w:val="none" w:sz="0" w:space="0" w:color="auto"/>
            <w:left w:val="none" w:sz="0" w:space="0" w:color="auto"/>
            <w:bottom w:val="none" w:sz="0" w:space="0" w:color="auto"/>
            <w:right w:val="none" w:sz="0" w:space="0" w:color="auto"/>
          </w:divBdr>
          <w:divsChild>
            <w:div w:id="688021612">
              <w:marLeft w:val="0"/>
              <w:marRight w:val="0"/>
              <w:marTop w:val="0"/>
              <w:marBottom w:val="0"/>
              <w:divBdr>
                <w:top w:val="none" w:sz="0" w:space="0" w:color="auto"/>
                <w:left w:val="none" w:sz="0" w:space="0" w:color="auto"/>
                <w:bottom w:val="none" w:sz="0" w:space="0" w:color="auto"/>
                <w:right w:val="none" w:sz="0" w:space="0" w:color="auto"/>
              </w:divBdr>
            </w:div>
          </w:divsChild>
        </w:div>
        <w:div w:id="2045016543">
          <w:marLeft w:val="0"/>
          <w:marRight w:val="0"/>
          <w:marTop w:val="0"/>
          <w:marBottom w:val="0"/>
          <w:divBdr>
            <w:top w:val="none" w:sz="0" w:space="0" w:color="auto"/>
            <w:left w:val="none" w:sz="0" w:space="0" w:color="auto"/>
            <w:bottom w:val="none" w:sz="0" w:space="0" w:color="auto"/>
            <w:right w:val="none" w:sz="0" w:space="0" w:color="auto"/>
          </w:divBdr>
          <w:divsChild>
            <w:div w:id="996227359">
              <w:marLeft w:val="0"/>
              <w:marRight w:val="0"/>
              <w:marTop w:val="0"/>
              <w:marBottom w:val="0"/>
              <w:divBdr>
                <w:top w:val="none" w:sz="0" w:space="0" w:color="auto"/>
                <w:left w:val="none" w:sz="0" w:space="0" w:color="auto"/>
                <w:bottom w:val="none" w:sz="0" w:space="0" w:color="auto"/>
                <w:right w:val="none" w:sz="0" w:space="0" w:color="auto"/>
              </w:divBdr>
            </w:div>
          </w:divsChild>
        </w:div>
        <w:div w:id="1566598912">
          <w:marLeft w:val="0"/>
          <w:marRight w:val="0"/>
          <w:marTop w:val="0"/>
          <w:marBottom w:val="0"/>
          <w:divBdr>
            <w:top w:val="none" w:sz="0" w:space="0" w:color="auto"/>
            <w:left w:val="none" w:sz="0" w:space="0" w:color="auto"/>
            <w:bottom w:val="none" w:sz="0" w:space="0" w:color="auto"/>
            <w:right w:val="none" w:sz="0" w:space="0" w:color="auto"/>
          </w:divBdr>
          <w:divsChild>
            <w:div w:id="2088572955">
              <w:marLeft w:val="0"/>
              <w:marRight w:val="0"/>
              <w:marTop w:val="0"/>
              <w:marBottom w:val="0"/>
              <w:divBdr>
                <w:top w:val="none" w:sz="0" w:space="0" w:color="auto"/>
                <w:left w:val="none" w:sz="0" w:space="0" w:color="auto"/>
                <w:bottom w:val="none" w:sz="0" w:space="0" w:color="auto"/>
                <w:right w:val="none" w:sz="0" w:space="0" w:color="auto"/>
              </w:divBdr>
            </w:div>
          </w:divsChild>
        </w:div>
        <w:div w:id="110050951">
          <w:marLeft w:val="0"/>
          <w:marRight w:val="0"/>
          <w:marTop w:val="0"/>
          <w:marBottom w:val="0"/>
          <w:divBdr>
            <w:top w:val="none" w:sz="0" w:space="0" w:color="auto"/>
            <w:left w:val="none" w:sz="0" w:space="0" w:color="auto"/>
            <w:bottom w:val="none" w:sz="0" w:space="0" w:color="auto"/>
            <w:right w:val="none" w:sz="0" w:space="0" w:color="auto"/>
          </w:divBdr>
          <w:divsChild>
            <w:div w:id="615060535">
              <w:marLeft w:val="0"/>
              <w:marRight w:val="0"/>
              <w:marTop w:val="0"/>
              <w:marBottom w:val="0"/>
              <w:divBdr>
                <w:top w:val="none" w:sz="0" w:space="0" w:color="auto"/>
                <w:left w:val="none" w:sz="0" w:space="0" w:color="auto"/>
                <w:bottom w:val="none" w:sz="0" w:space="0" w:color="auto"/>
                <w:right w:val="none" w:sz="0" w:space="0" w:color="auto"/>
              </w:divBdr>
            </w:div>
          </w:divsChild>
        </w:div>
        <w:div w:id="1953512603">
          <w:marLeft w:val="0"/>
          <w:marRight w:val="0"/>
          <w:marTop w:val="0"/>
          <w:marBottom w:val="0"/>
          <w:divBdr>
            <w:top w:val="none" w:sz="0" w:space="0" w:color="auto"/>
            <w:left w:val="none" w:sz="0" w:space="0" w:color="auto"/>
            <w:bottom w:val="none" w:sz="0" w:space="0" w:color="auto"/>
            <w:right w:val="none" w:sz="0" w:space="0" w:color="auto"/>
          </w:divBdr>
          <w:divsChild>
            <w:div w:id="165780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1936">
      <w:bodyDiv w:val="1"/>
      <w:marLeft w:val="0"/>
      <w:marRight w:val="0"/>
      <w:marTop w:val="0"/>
      <w:marBottom w:val="0"/>
      <w:divBdr>
        <w:top w:val="none" w:sz="0" w:space="0" w:color="auto"/>
        <w:left w:val="none" w:sz="0" w:space="0" w:color="auto"/>
        <w:bottom w:val="none" w:sz="0" w:space="0" w:color="auto"/>
        <w:right w:val="none" w:sz="0" w:space="0" w:color="auto"/>
      </w:divBdr>
    </w:div>
    <w:div w:id="232815842">
      <w:bodyDiv w:val="1"/>
      <w:marLeft w:val="0"/>
      <w:marRight w:val="0"/>
      <w:marTop w:val="0"/>
      <w:marBottom w:val="0"/>
      <w:divBdr>
        <w:top w:val="none" w:sz="0" w:space="0" w:color="auto"/>
        <w:left w:val="none" w:sz="0" w:space="0" w:color="auto"/>
        <w:bottom w:val="none" w:sz="0" w:space="0" w:color="auto"/>
        <w:right w:val="none" w:sz="0" w:space="0" w:color="auto"/>
      </w:divBdr>
    </w:div>
    <w:div w:id="278031949">
      <w:bodyDiv w:val="1"/>
      <w:marLeft w:val="0"/>
      <w:marRight w:val="0"/>
      <w:marTop w:val="0"/>
      <w:marBottom w:val="0"/>
      <w:divBdr>
        <w:top w:val="none" w:sz="0" w:space="0" w:color="auto"/>
        <w:left w:val="none" w:sz="0" w:space="0" w:color="auto"/>
        <w:bottom w:val="none" w:sz="0" w:space="0" w:color="auto"/>
        <w:right w:val="none" w:sz="0" w:space="0" w:color="auto"/>
      </w:divBdr>
    </w:div>
    <w:div w:id="479688784">
      <w:bodyDiv w:val="1"/>
      <w:marLeft w:val="0"/>
      <w:marRight w:val="0"/>
      <w:marTop w:val="0"/>
      <w:marBottom w:val="0"/>
      <w:divBdr>
        <w:top w:val="none" w:sz="0" w:space="0" w:color="auto"/>
        <w:left w:val="none" w:sz="0" w:space="0" w:color="auto"/>
        <w:bottom w:val="none" w:sz="0" w:space="0" w:color="auto"/>
        <w:right w:val="none" w:sz="0" w:space="0" w:color="auto"/>
      </w:divBdr>
    </w:div>
    <w:div w:id="504127213">
      <w:bodyDiv w:val="1"/>
      <w:marLeft w:val="0"/>
      <w:marRight w:val="0"/>
      <w:marTop w:val="0"/>
      <w:marBottom w:val="0"/>
      <w:divBdr>
        <w:top w:val="none" w:sz="0" w:space="0" w:color="auto"/>
        <w:left w:val="none" w:sz="0" w:space="0" w:color="auto"/>
        <w:bottom w:val="none" w:sz="0" w:space="0" w:color="auto"/>
        <w:right w:val="none" w:sz="0" w:space="0" w:color="auto"/>
      </w:divBdr>
    </w:div>
    <w:div w:id="533202292">
      <w:bodyDiv w:val="1"/>
      <w:marLeft w:val="0"/>
      <w:marRight w:val="0"/>
      <w:marTop w:val="0"/>
      <w:marBottom w:val="0"/>
      <w:divBdr>
        <w:top w:val="none" w:sz="0" w:space="0" w:color="auto"/>
        <w:left w:val="none" w:sz="0" w:space="0" w:color="auto"/>
        <w:bottom w:val="none" w:sz="0" w:space="0" w:color="auto"/>
        <w:right w:val="none" w:sz="0" w:space="0" w:color="auto"/>
      </w:divBdr>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80857588">
      <w:bodyDiv w:val="1"/>
      <w:marLeft w:val="0"/>
      <w:marRight w:val="0"/>
      <w:marTop w:val="0"/>
      <w:marBottom w:val="0"/>
      <w:divBdr>
        <w:top w:val="none" w:sz="0" w:space="0" w:color="auto"/>
        <w:left w:val="none" w:sz="0" w:space="0" w:color="auto"/>
        <w:bottom w:val="none" w:sz="0" w:space="0" w:color="auto"/>
        <w:right w:val="none" w:sz="0" w:space="0" w:color="auto"/>
      </w:divBdr>
    </w:div>
    <w:div w:id="765227363">
      <w:bodyDiv w:val="1"/>
      <w:marLeft w:val="0"/>
      <w:marRight w:val="0"/>
      <w:marTop w:val="0"/>
      <w:marBottom w:val="0"/>
      <w:divBdr>
        <w:top w:val="none" w:sz="0" w:space="0" w:color="auto"/>
        <w:left w:val="none" w:sz="0" w:space="0" w:color="auto"/>
        <w:bottom w:val="none" w:sz="0" w:space="0" w:color="auto"/>
        <w:right w:val="none" w:sz="0" w:space="0" w:color="auto"/>
      </w:divBdr>
    </w:div>
    <w:div w:id="791289396">
      <w:bodyDiv w:val="1"/>
      <w:marLeft w:val="0"/>
      <w:marRight w:val="0"/>
      <w:marTop w:val="0"/>
      <w:marBottom w:val="0"/>
      <w:divBdr>
        <w:top w:val="none" w:sz="0" w:space="0" w:color="auto"/>
        <w:left w:val="none" w:sz="0" w:space="0" w:color="auto"/>
        <w:bottom w:val="none" w:sz="0" w:space="0" w:color="auto"/>
        <w:right w:val="none" w:sz="0" w:space="0" w:color="auto"/>
      </w:divBdr>
    </w:div>
    <w:div w:id="791630108">
      <w:bodyDiv w:val="1"/>
      <w:marLeft w:val="0"/>
      <w:marRight w:val="0"/>
      <w:marTop w:val="0"/>
      <w:marBottom w:val="0"/>
      <w:divBdr>
        <w:top w:val="none" w:sz="0" w:space="0" w:color="auto"/>
        <w:left w:val="none" w:sz="0" w:space="0" w:color="auto"/>
        <w:bottom w:val="none" w:sz="0" w:space="0" w:color="auto"/>
        <w:right w:val="none" w:sz="0" w:space="0" w:color="auto"/>
      </w:divBdr>
    </w:div>
    <w:div w:id="822968227">
      <w:bodyDiv w:val="1"/>
      <w:marLeft w:val="0"/>
      <w:marRight w:val="0"/>
      <w:marTop w:val="0"/>
      <w:marBottom w:val="0"/>
      <w:divBdr>
        <w:top w:val="none" w:sz="0" w:space="0" w:color="auto"/>
        <w:left w:val="none" w:sz="0" w:space="0" w:color="auto"/>
        <w:bottom w:val="none" w:sz="0" w:space="0" w:color="auto"/>
        <w:right w:val="none" w:sz="0" w:space="0" w:color="auto"/>
      </w:divBdr>
    </w:div>
    <w:div w:id="862743879">
      <w:bodyDiv w:val="1"/>
      <w:marLeft w:val="0"/>
      <w:marRight w:val="0"/>
      <w:marTop w:val="0"/>
      <w:marBottom w:val="0"/>
      <w:divBdr>
        <w:top w:val="none" w:sz="0" w:space="0" w:color="auto"/>
        <w:left w:val="none" w:sz="0" w:space="0" w:color="auto"/>
        <w:bottom w:val="none" w:sz="0" w:space="0" w:color="auto"/>
        <w:right w:val="none" w:sz="0" w:space="0" w:color="auto"/>
      </w:divBdr>
    </w:div>
    <w:div w:id="909771233">
      <w:bodyDiv w:val="1"/>
      <w:marLeft w:val="0"/>
      <w:marRight w:val="0"/>
      <w:marTop w:val="0"/>
      <w:marBottom w:val="0"/>
      <w:divBdr>
        <w:top w:val="none" w:sz="0" w:space="0" w:color="auto"/>
        <w:left w:val="none" w:sz="0" w:space="0" w:color="auto"/>
        <w:bottom w:val="none" w:sz="0" w:space="0" w:color="auto"/>
        <w:right w:val="none" w:sz="0" w:space="0" w:color="auto"/>
      </w:divBdr>
    </w:div>
    <w:div w:id="921258407">
      <w:bodyDiv w:val="1"/>
      <w:marLeft w:val="0"/>
      <w:marRight w:val="0"/>
      <w:marTop w:val="0"/>
      <w:marBottom w:val="0"/>
      <w:divBdr>
        <w:top w:val="none" w:sz="0" w:space="0" w:color="auto"/>
        <w:left w:val="none" w:sz="0" w:space="0" w:color="auto"/>
        <w:bottom w:val="none" w:sz="0" w:space="0" w:color="auto"/>
        <w:right w:val="none" w:sz="0" w:space="0" w:color="auto"/>
      </w:divBdr>
    </w:div>
    <w:div w:id="929972820">
      <w:bodyDiv w:val="1"/>
      <w:marLeft w:val="0"/>
      <w:marRight w:val="0"/>
      <w:marTop w:val="0"/>
      <w:marBottom w:val="0"/>
      <w:divBdr>
        <w:top w:val="none" w:sz="0" w:space="0" w:color="auto"/>
        <w:left w:val="none" w:sz="0" w:space="0" w:color="auto"/>
        <w:bottom w:val="none" w:sz="0" w:space="0" w:color="auto"/>
        <w:right w:val="none" w:sz="0" w:space="0" w:color="auto"/>
      </w:divBdr>
    </w:div>
    <w:div w:id="1070929487">
      <w:bodyDiv w:val="1"/>
      <w:marLeft w:val="0"/>
      <w:marRight w:val="0"/>
      <w:marTop w:val="0"/>
      <w:marBottom w:val="0"/>
      <w:divBdr>
        <w:top w:val="none" w:sz="0" w:space="0" w:color="auto"/>
        <w:left w:val="none" w:sz="0" w:space="0" w:color="auto"/>
        <w:bottom w:val="none" w:sz="0" w:space="0" w:color="auto"/>
        <w:right w:val="none" w:sz="0" w:space="0" w:color="auto"/>
      </w:divBdr>
    </w:div>
    <w:div w:id="1308824221">
      <w:bodyDiv w:val="1"/>
      <w:marLeft w:val="0"/>
      <w:marRight w:val="0"/>
      <w:marTop w:val="0"/>
      <w:marBottom w:val="0"/>
      <w:divBdr>
        <w:top w:val="none" w:sz="0" w:space="0" w:color="auto"/>
        <w:left w:val="none" w:sz="0" w:space="0" w:color="auto"/>
        <w:bottom w:val="none" w:sz="0" w:space="0" w:color="auto"/>
        <w:right w:val="none" w:sz="0" w:space="0" w:color="auto"/>
      </w:divBdr>
    </w:div>
    <w:div w:id="1321620736">
      <w:bodyDiv w:val="1"/>
      <w:marLeft w:val="0"/>
      <w:marRight w:val="0"/>
      <w:marTop w:val="0"/>
      <w:marBottom w:val="0"/>
      <w:divBdr>
        <w:top w:val="none" w:sz="0" w:space="0" w:color="auto"/>
        <w:left w:val="none" w:sz="0" w:space="0" w:color="auto"/>
        <w:bottom w:val="none" w:sz="0" w:space="0" w:color="auto"/>
        <w:right w:val="none" w:sz="0" w:space="0" w:color="auto"/>
      </w:divBdr>
    </w:div>
    <w:div w:id="1438015773">
      <w:bodyDiv w:val="1"/>
      <w:marLeft w:val="0"/>
      <w:marRight w:val="0"/>
      <w:marTop w:val="0"/>
      <w:marBottom w:val="0"/>
      <w:divBdr>
        <w:top w:val="none" w:sz="0" w:space="0" w:color="auto"/>
        <w:left w:val="none" w:sz="0" w:space="0" w:color="auto"/>
        <w:bottom w:val="none" w:sz="0" w:space="0" w:color="auto"/>
        <w:right w:val="none" w:sz="0" w:space="0" w:color="auto"/>
      </w:divBdr>
    </w:div>
    <w:div w:id="1481726823">
      <w:bodyDiv w:val="1"/>
      <w:marLeft w:val="0"/>
      <w:marRight w:val="0"/>
      <w:marTop w:val="0"/>
      <w:marBottom w:val="0"/>
      <w:divBdr>
        <w:top w:val="none" w:sz="0" w:space="0" w:color="auto"/>
        <w:left w:val="none" w:sz="0" w:space="0" w:color="auto"/>
        <w:bottom w:val="none" w:sz="0" w:space="0" w:color="auto"/>
        <w:right w:val="none" w:sz="0" w:space="0" w:color="auto"/>
      </w:divBdr>
    </w:div>
    <w:div w:id="1583761860">
      <w:bodyDiv w:val="1"/>
      <w:marLeft w:val="0"/>
      <w:marRight w:val="0"/>
      <w:marTop w:val="0"/>
      <w:marBottom w:val="0"/>
      <w:divBdr>
        <w:top w:val="none" w:sz="0" w:space="0" w:color="auto"/>
        <w:left w:val="none" w:sz="0" w:space="0" w:color="auto"/>
        <w:bottom w:val="none" w:sz="0" w:space="0" w:color="auto"/>
        <w:right w:val="none" w:sz="0" w:space="0" w:color="auto"/>
      </w:divBdr>
    </w:div>
    <w:div w:id="1682272202">
      <w:bodyDiv w:val="1"/>
      <w:marLeft w:val="0"/>
      <w:marRight w:val="0"/>
      <w:marTop w:val="0"/>
      <w:marBottom w:val="0"/>
      <w:divBdr>
        <w:top w:val="none" w:sz="0" w:space="0" w:color="auto"/>
        <w:left w:val="none" w:sz="0" w:space="0" w:color="auto"/>
        <w:bottom w:val="none" w:sz="0" w:space="0" w:color="auto"/>
        <w:right w:val="none" w:sz="0" w:space="0" w:color="auto"/>
      </w:divBdr>
    </w:div>
    <w:div w:id="1916822298">
      <w:bodyDiv w:val="1"/>
      <w:marLeft w:val="0"/>
      <w:marRight w:val="0"/>
      <w:marTop w:val="0"/>
      <w:marBottom w:val="0"/>
      <w:divBdr>
        <w:top w:val="none" w:sz="0" w:space="0" w:color="auto"/>
        <w:left w:val="none" w:sz="0" w:space="0" w:color="auto"/>
        <w:bottom w:val="none" w:sz="0" w:space="0" w:color="auto"/>
        <w:right w:val="none" w:sz="0" w:space="0" w:color="auto"/>
      </w:divBdr>
    </w:div>
    <w:div w:id="2030376809">
      <w:bodyDiv w:val="1"/>
      <w:marLeft w:val="0"/>
      <w:marRight w:val="0"/>
      <w:marTop w:val="0"/>
      <w:marBottom w:val="0"/>
      <w:divBdr>
        <w:top w:val="none" w:sz="0" w:space="0" w:color="auto"/>
        <w:left w:val="none" w:sz="0" w:space="0" w:color="auto"/>
        <w:bottom w:val="none" w:sz="0" w:space="0" w:color="auto"/>
        <w:right w:val="none" w:sz="0" w:space="0" w:color="auto"/>
      </w:divBdr>
    </w:div>
    <w:div w:id="2058043282">
      <w:bodyDiv w:val="1"/>
      <w:marLeft w:val="0"/>
      <w:marRight w:val="0"/>
      <w:marTop w:val="0"/>
      <w:marBottom w:val="0"/>
      <w:divBdr>
        <w:top w:val="none" w:sz="0" w:space="0" w:color="auto"/>
        <w:left w:val="none" w:sz="0" w:space="0" w:color="auto"/>
        <w:bottom w:val="none" w:sz="0" w:space="0" w:color="auto"/>
        <w:right w:val="none" w:sz="0" w:space="0" w:color="auto"/>
      </w:divBdr>
    </w:div>
    <w:div w:id="212981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ministers.treasury.gov.au/ministers/jim-chalmers-2022/media-releases/crypto-not-taxed-foreign-curren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treasury.gov.au/consultation/c2022-314572" TargetMode="External"/><Relationship Id="rId2" Type="http://schemas.openxmlformats.org/officeDocument/2006/relationships/customXml" Target="../customXml/item2.xml"/><Relationship Id="rId16" Type="http://schemas.openxmlformats.org/officeDocument/2006/relationships/hyperlink" Target="https://www.dss.gov.au/seniors/programmes-services/work-bonu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budget.gov.au/2022-23-october/content/factsheets/download/factsheet_parental_leave.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udget.gov.au/2022-23-october/content/factsheets/download/factsheet_child_car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EF5E03FD523C47872EDCFED18ADB89" ma:contentTypeVersion="16" ma:contentTypeDescription="Create a new document." ma:contentTypeScope="" ma:versionID="644595b56533faa4c73712cef1721366">
  <xsd:schema xmlns:xsd="http://www.w3.org/2001/XMLSchema" xmlns:xs="http://www.w3.org/2001/XMLSchema" xmlns:p="http://schemas.microsoft.com/office/2006/metadata/properties" xmlns:ns2="2f2877c6-b1c2-411b-a6fe-5b164fa0f7ca" xmlns:ns3="2a9792d3-d79d-4730-abd3-b59ddb5ad902" targetNamespace="http://schemas.microsoft.com/office/2006/metadata/properties" ma:root="true" ma:fieldsID="83e111b1164b4df0b8e8a075515f45dc" ns2:_="" ns3:_="">
    <xsd:import namespace="2f2877c6-b1c2-411b-a6fe-5b164fa0f7ca"/>
    <xsd:import namespace="2a9792d3-d79d-4730-abd3-b59ddb5ad902"/>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77c6-b1c2-411b-a6fe-5b164fa0f7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c3872b-38b2-481e-ac62-77e4bd7669e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9792d3-d79d-4730-abd3-b59ddb5ad90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75e3445-3997-4078-9f86-fedf0c178f08}" ma:internalName="TaxCatchAll" ma:showField="CatchAllData" ma:web="2a9792d3-d79d-4730-abd3-b59ddb5ad9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2877c6-b1c2-411b-a6fe-5b164fa0f7ca">
      <Terms xmlns="http://schemas.microsoft.com/office/infopath/2007/PartnerControls"/>
    </lcf76f155ced4ddcb4097134ff3c332f>
    <TaxCatchAll xmlns="2a9792d3-d79d-4730-abd3-b59ddb5ad902" xsi:nil="true"/>
  </documentManagement>
</p:properties>
</file>

<file path=customXml/itemProps1.xml><?xml version="1.0" encoding="utf-8"?>
<ds:datastoreItem xmlns:ds="http://schemas.openxmlformats.org/officeDocument/2006/customXml" ds:itemID="{F75A8DD7-D768-4827-8898-2F5BC95E9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77c6-b1c2-411b-a6fe-5b164fa0f7ca"/>
    <ds:schemaRef ds:uri="2a9792d3-d79d-4730-abd3-b59ddb5ad9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E94A5A-DDFE-4684-815F-1A02860DE083}">
  <ds:schemaRefs>
    <ds:schemaRef ds:uri="http://schemas.microsoft.com/sharepoint/v3/contenttype/forms"/>
  </ds:schemaRefs>
</ds:datastoreItem>
</file>

<file path=customXml/itemProps3.xml><?xml version="1.0" encoding="utf-8"?>
<ds:datastoreItem xmlns:ds="http://schemas.openxmlformats.org/officeDocument/2006/customXml" ds:itemID="{A8FB3BF9-BC27-2049-8234-C37AAC939F07}">
  <ds:schemaRefs>
    <ds:schemaRef ds:uri="http://schemas.openxmlformats.org/officeDocument/2006/bibliography"/>
  </ds:schemaRefs>
</ds:datastoreItem>
</file>

<file path=customXml/itemProps4.xml><?xml version="1.0" encoding="utf-8"?>
<ds:datastoreItem xmlns:ds="http://schemas.openxmlformats.org/officeDocument/2006/customXml" ds:itemID="{63FE3BE3-36F5-4BC2-8241-D5D968B72EE8}">
  <ds:schemaRefs>
    <ds:schemaRef ds:uri="http://schemas.microsoft.com/office/2006/metadata/properties"/>
    <ds:schemaRef ds:uri="http://schemas.microsoft.com/office/infopath/2007/PartnerControls"/>
    <ds:schemaRef ds:uri="2f2877c6-b1c2-411b-a6fe-5b164fa0f7ca"/>
    <ds:schemaRef ds:uri="2a9792d3-d79d-4730-abd3-b59ddb5ad90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5061</Words>
  <Characters>28854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Budget 2022-23 2.0 The Advisers Edit</vt:lpstr>
    </vt:vector>
  </TitlesOfParts>
  <Manager/>
  <Company>© Knowledge Shop Pty</Company>
  <LinksUpToDate>false</LinksUpToDate>
  <CharactersWithSpaces>33848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2022-23 2.0 The Advisers Edit</dc:title>
  <dc:subject/>
  <dc:creator>Knowldge Shop pty Ltd</dc:creator>
  <cp:keywords/>
  <dc:description>Knowledge Shop Pty Ltd 2022</dc:description>
  <cp:lastModifiedBy>Bradley Rennick</cp:lastModifiedBy>
  <cp:revision>2</cp:revision>
  <cp:lastPrinted>2018-08-08T02:35:00Z</cp:lastPrinted>
  <dcterms:created xsi:type="dcterms:W3CDTF">2022-10-26T05:17:00Z</dcterms:created>
  <dcterms:modified xsi:type="dcterms:W3CDTF">2022-10-26T05:17:00Z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0x01010073EF5E03FD523C47872EDCFED18ADB89</vt:lpwstr>
  </property>
</Properties>
</file>